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Aspectos Académicos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Estructura curricular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Descripción de la organización curricular (organización de la asignatura por áreas o ejes de conocimiento)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De acuerdo con el modelo curricular por competencias del Sistema de la Universidad Boliviana y con la IES 2 de la IFAC, el Plan de Estudios 2027 organiza sus 43 asignaturas en seis áreas de conocimiento agrupadas en dos bloques: las áreas troncales, que forman el núcleo de la profesión, y las áreas contextuales, que aportan el sustento multidisciplinario.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1. Asignaturas y carga horaria por área de conocimiento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474"/>
        <w:gridCol w:w="1701"/>
        <w:gridCol w:w="1361"/>
      </w:tblGrid>
      <w:tr>
        <w:trPr>
          <w:tblHeader/>
        </w:trPr>
        <w:tc>
          <w:tcPr>
            <w:tcW w:type="dxa" w:w="45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Asignaturas</w:t>
            </w:r>
          </w:p>
        </w:tc>
        <w:tc>
          <w:tcPr>
            <w:tcW w:type="dxa" w:w="170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Horas académicas</w:t>
            </w:r>
          </w:p>
        </w:tc>
        <w:tc>
          <w:tcPr>
            <w:tcW w:type="dxa" w:w="136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Áreas troncales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29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4.000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66,67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Información Financiera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2.400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40,00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Servicios de Aseguramiento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1.600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26,67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Áreas contextuales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14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2.000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33,33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Administración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480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8,00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Derecho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5,33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Economía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480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8,00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720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12,00</w:t>
            </w:r>
          </w:p>
        </w:tc>
      </w:tr>
      <w:tr>
        <w:tc>
          <w:tcPr>
            <w:tcW w:type="dxa" w:w="45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</w:t>
            </w:r>
          </w:p>
        </w:tc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43</w:t>
            </w:r>
          </w:p>
        </w:tc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6.000</w:t>
            </w:r>
          </w:p>
        </w:tc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100,00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Áreas troncales: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Información Financiera: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 las competencias para diseñar, operar y evaluar sistemas contables orientados a la preparación de estados financieros e informes de gestión en los sectores comercial, industrial, extractivo, agropecuario, financiero, de seguros y gubernamental. Incluye los sistemas de gestión empresarial, el análisis de datos contables, las finanzas corporativas y la investigación formativa.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Servicios de Aseguramiento: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proporciona la formación en teoría del aseguramiento, control interno y auditoría financiera, gubernamental, operativa, tributaria, digital, ambiental y de sostenibilidad, forense, de proyectos y de entidades financieras, complementada con la ética e independencia profesional y el taller de grado.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Áreas contextuales: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Administración: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aporta la comprensión del comportamiento organizacional, la teoría administrativa, los sistemas gerenciales y la toma de decisiones.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Derecho: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brinda el sustento jurídico en derecho comercial, corporativo, laboral, de seguridad social, tributario y aduanero.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Economía: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proporciona el análisis microeconómico y macroeconómico y la formulación y evaluación de proyectos de inversión.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Matemáticas: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 el razonamiento lógico deductivo mediante el cálculo, el álgebra lineal, la programación operativa, las matemáticas financieras, la estadística y la matemática actuarial.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Ejes transversales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malla articula ejes transversales que recorren los cinco años de formación y que se concretan en asignaturas específicas: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2. Ejes transversales del Plan de Estudios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/>
        </w:trPr>
        <w:tc>
          <w:tcPr>
            <w:tcW w:type="dxa" w:w="311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Eje</w:t>
            </w:r>
          </w:p>
        </w:tc>
        <w:tc>
          <w:tcPr>
            <w:tcW w:type="dxa" w:w="5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Asignaturas en que se concreta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Ética profesional e interés público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CPA-406 Ética e Independencia Profesional, con evaluación de los principios del Código del IESBA en todas las asignaturas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Transformación digital, analítica de datos e inteligencia artificial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 Tecnologías de Información y Herramientas Digitales, CPA-305 Sistemas Contables ERP y Análisis de Datos, CPA-404 Diseño e Implantación de Sistemas de Contabilidad y CPA-505 Auditoría Digital, Ciberseguridad y Tecnologías Emergentes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Sostenibilidad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CPA-506 Reportes y Aseguramiento de Sostenibilidad y Auditoría Ambiental, y contenidos de contabilidad de gestión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Inglés técnico contable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Bibliografía, casos y guías en inglés incorporados progresivamente en los programas de las asignaturas de los últimos años</w:t>
            </w:r>
          </w:p>
        </w:tc>
      </w:tr>
      <w:tr>
        <w:tc>
          <w:tcPr>
            <w:tcW w:type="dxa" w:w="31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Investigación formativa e interacción social</w:t>
            </w:r>
          </w:p>
        </w:tc>
        <w:tc>
          <w:tcPr>
            <w:tcW w:type="dxa" w:w="5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CPA-204 Métodos y Técnicas de Investigación y CPA-510 Taller de Grado, con proyectos de interacción social y prácticas preprofesionales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Mapa de competencia (competencia y unidades de competencia)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mapa de competencias parte de la competencia global de la Carrera, expresada en el perfil profesional del punto 4.2.7, y la desagrega en competencias por área de conocimiento, desarrolladas por las asignaturas de cada área. La unidad de competencia y los elementos de competencia de cada asignatura se establecen en los planes de asignatura del punto 4.5, conforme al Artículo 9 de la Resolución HCU N.º 032/2025.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787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60" w:after="6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Competencia global de la Carrera</w:t>
            </w:r>
          </w:p>
          <w:p>
            <w:pPr>
              <w:spacing w:before="60" w:after="6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Diseña, opera, evalúa y audita sistemas integrados de información económica, financiera y no financiera de organizaciones públicas, privadas y mixtas, aplicando estándares nacionales e internacionales y tecnologías emergentes, para preparar, asegurar y analizar información confiable que respalde la toma de decisiones, con juicio crítico, ética profesional conforme al Código del IESBA y compromiso con el interés público.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3. Competencias por área de conocimiento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402"/>
      </w:tblGrid>
      <w:tr>
        <w:trPr>
          <w:tblHeader/>
        </w:trPr>
        <w:tc>
          <w:tcPr>
            <w:tcW w:type="dxa" w:w="170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396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Competencia del área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Asignaturas que la desarrollan</w:t>
            </w:r>
          </w:p>
        </w:tc>
      </w:tr>
      <w:tr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  <w:tc>
          <w:tcPr>
            <w:tcW w:type="dxa" w:w="39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Prepara, presenta y analiza estados financieros, informes de gestión y de sostenibilidad de entidades públicas y privadas, aplicando los marcos de información financiera nacionales e internacionales y sistemas de gestión empresarial.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CPA-101, CPA-102, CPA-201 a CPA-204, CPA-301 a CPA-305 y CPA-401 a CPA-405</w:t>
            </w:r>
          </w:p>
        </w:tc>
      </w:tr>
      <w:tr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Servicios de Aseguramiento</w:t>
            </w:r>
          </w:p>
        </w:tc>
        <w:tc>
          <w:tcPr>
            <w:tcW w:type="dxa" w:w="39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Planifica, ejecuta e informa encargos de auditoría, revisión, aseguramiento y servicios relacionados sobre información financiera y no financiera, con escepticismo profesional e independencia.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CPA-406 a CPA-408 y CPA-501 a CPA-510</w:t>
            </w:r>
          </w:p>
        </w:tc>
      </w:tr>
      <w:tr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</w:t>
            </w:r>
          </w:p>
        </w:tc>
        <w:tc>
          <w:tcPr>
            <w:tcW w:type="dxa" w:w="39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Analiza la estructura, el comportamiento y los sistemas de gestión de las organizaciones para apoyar la toma de decisiones.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ADM-101, ADM-201 y ADM-301</w:t>
            </w:r>
          </w:p>
        </w:tc>
      </w:tr>
      <w:tr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</w:t>
            </w:r>
          </w:p>
        </w:tc>
        <w:tc>
          <w:tcPr>
            <w:tcW w:type="dxa" w:w="39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Aplica la legislación comercial, societaria, laboral, de seguridad social, tributaria y aduanera en la gestión y el control de las organizaciones.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DER-101, DER-102 y DER-201</w:t>
            </w:r>
          </w:p>
        </w:tc>
      </w:tr>
      <w:tr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Economía</w:t>
            </w:r>
          </w:p>
        </w:tc>
        <w:tc>
          <w:tcPr>
            <w:tcW w:type="dxa" w:w="39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Interpreta el entorno microeconómico y macroeconómico y evalúa proyectos de inversión.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ECO-101, ECO-201 y ECO-301</w:t>
            </w:r>
          </w:p>
        </w:tc>
      </w:tr>
      <w:tr>
        <w:tc>
          <w:tcPr>
            <w:tcW w:type="dxa" w:w="17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</w:t>
            </w:r>
          </w:p>
        </w:tc>
        <w:tc>
          <w:tcPr>
            <w:tcW w:type="dxa" w:w="39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Aplica modelos matemáticos, financieros, estadísticos y actuariales al análisis de la información y a la evidencia de auditoría.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MAT-101, MAT-102, MAT-201, MAT-301 y MAT-401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competencias de cada área se expresan en los atributos del egresado que se detallan en el punto 4.2.7: atributos académicos y disciplinares, que corresponden al saber conocer; atributos técnicos, digitales y de innovación, que corresponden al saber hacer; y atributos éticos, socioemocionales y de responsabilidad pública, que corresponden al saber ser y convivir.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Malla curricular (siglas, nombres de la asignatura, carga horaria, créditos, prerrequisitos) por ciclos y semestres/año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malla del Plan de Estudios 2027 comprende 43 asignaturas anuales distribuidas en cinco años. Las horas anuales resultan de la carga semanal multiplicada por las 40 semanas de la gestión, y los créditos se calculan conforme al punto 4.3.5: cada hora académica presencial equivale a 45 minutos y se acompaña de una hora de trabajo autónomo, y cada crédito equivale a 30 horas de trabajo.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4. Malla curricular, primer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1928"/>
        <w:gridCol w:w="907"/>
        <w:gridCol w:w="907"/>
        <w:gridCol w:w="794"/>
      </w:tblGrid>
      <w:tr>
        <w:trPr>
          <w:tblHeader/>
        </w:trPr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Sigla</w:t>
            </w:r>
          </w:p>
        </w:tc>
        <w:tc>
          <w:tcPr>
            <w:tcW w:type="dxa" w:w="351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Asignatura</w:t>
            </w:r>
          </w:p>
        </w:tc>
        <w:tc>
          <w:tcPr>
            <w:tcW w:type="dxa" w:w="192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Prerrequisito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sem.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año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Créd.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Básica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Tecnologías de Información y Herramientas Digitales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ADM-101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 General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 Comercial y Corporativo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 Laboral y Seguridad Social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ECO-101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Microeconomía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Cálculo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 Financieras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AE, CPF o PSA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Total primer año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26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1.040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52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5. Malla curricular, segundo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1928"/>
        <w:gridCol w:w="907"/>
        <w:gridCol w:w="907"/>
        <w:gridCol w:w="794"/>
      </w:tblGrid>
      <w:tr>
        <w:trPr>
          <w:tblHeader/>
        </w:trPr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Sigla</w:t>
            </w:r>
          </w:p>
        </w:tc>
        <w:tc>
          <w:tcPr>
            <w:tcW w:type="dxa" w:w="351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Asignatura</w:t>
            </w:r>
          </w:p>
        </w:tc>
        <w:tc>
          <w:tcPr>
            <w:tcW w:type="dxa" w:w="192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Prerrequisito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sem.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año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Créd.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Intermedia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Sociedades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CPA-203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Tributos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CPA-204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Métodos y Técnicas de Investigación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ADM-201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 de Sistemas Gerenciales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DER-201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 Tributario y Legislación Aduanera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DER-101, DER-102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ECO-201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Macroeconomía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MAT-201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Álgebra Lineal y Programación Operativa Aplicada a los Negocios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Total segundo año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30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1.200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60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6. Malla curricular, tercer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1928"/>
        <w:gridCol w:w="907"/>
        <w:gridCol w:w="907"/>
        <w:gridCol w:w="794"/>
      </w:tblGrid>
      <w:tr>
        <w:trPr>
          <w:tblHeader/>
        </w:trPr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Sigla</w:t>
            </w:r>
          </w:p>
        </w:tc>
        <w:tc>
          <w:tcPr>
            <w:tcW w:type="dxa" w:w="351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Asignatura</w:t>
            </w:r>
          </w:p>
        </w:tc>
        <w:tc>
          <w:tcPr>
            <w:tcW w:type="dxa" w:w="192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Prerrequisito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sem.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año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Créd.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Internacional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CPA-201, CPA-202, CPA-203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Costos y Gestión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CPA-201, CPA-202, CPA-203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CPA-303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Bancos y Entidades Financieras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CPA-201, CPA-202, CPA-203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CPA-304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y Presupuestos Gubernamental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CPA-201, CPA-202, CPA-203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CPA-305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Sistemas Contables ERP y Análisis de Datos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CPA-102, CPA-201, CPA-202, CPA-203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ADM-301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Desarrollo Organizacional y Comportamiento Organizacional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ADM-201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ECO-301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Preparación y Evaluación de Proyectos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ECO-201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MAT-301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Estadística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MAT-201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Total tercer año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32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1.280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64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7. Malla curricular, cuarto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1928"/>
        <w:gridCol w:w="907"/>
        <w:gridCol w:w="907"/>
        <w:gridCol w:w="794"/>
      </w:tblGrid>
      <w:tr>
        <w:trPr>
          <w:tblHeader/>
        </w:trPr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Sigla</w:t>
            </w:r>
          </w:p>
        </w:tc>
        <w:tc>
          <w:tcPr>
            <w:tcW w:type="dxa" w:w="351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Asignatura</w:t>
            </w:r>
          </w:p>
        </w:tc>
        <w:tc>
          <w:tcPr>
            <w:tcW w:type="dxa" w:w="192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Prerrequisito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sem.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año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Créd.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Minera y Petrolera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CPA-301, CPA-302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Agrícola y Ganadera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CPA-301, CPA-302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CPA-403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Seguros: Privado y Social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CPA-301, CPA-302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CPA-404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Diseño e Implantación de Sistemas de Contabilidad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 a CPA-305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CPA-405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Finanzas Corporativas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 a CPA-304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CPA-406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Ética e Independencia Profesional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 a CPA-304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CPA-407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Financiera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 a CPA-304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CPA-408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Interna, Control Interno y Gestión de Riesgos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CPA-301 a CPA-304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MAT-401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 Actuariales y Técnicas Financieras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MAT-102, MAT-301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Total cuarto año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32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1.280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64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8. Malla curricular, quinto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1928"/>
        <w:gridCol w:w="907"/>
        <w:gridCol w:w="907"/>
        <w:gridCol w:w="794"/>
      </w:tblGrid>
      <w:tr>
        <w:trPr>
          <w:tblHeader/>
        </w:trPr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Sigla</w:t>
            </w:r>
          </w:p>
        </w:tc>
        <w:tc>
          <w:tcPr>
            <w:tcW w:type="dxa" w:w="351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Asignatura</w:t>
            </w:r>
          </w:p>
        </w:tc>
        <w:tc>
          <w:tcPr>
            <w:tcW w:type="dxa" w:w="192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Prerrequisito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sem.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año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Créd.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CPA-501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Operativa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CPA-502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Gabinete de Auditoría Financiera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CPA-503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Tributaria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CPA-504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Gubernamental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CPA-505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Digital, Ciberseguridad y Tecnologías Emergentes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CPA-506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Reportes y Aseguramiento de Sostenibilidad y Auditoría Ambiental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CPA-507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de Proyectos Públicos y Privados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CPA-508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Forense, Peritaje y Prevención de Delitos Económicos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CPA-509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de Entidades Financieras y Servicios Relacionados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CPA-510</w:t>
            </w: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Taller de Grado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 a CPA-408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Total quinto año</w:t>
            </w:r>
          </w:p>
        </w:tc>
        <w:tc>
          <w:tcPr>
            <w:tcW w:type="dxa" w:w="192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30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1.200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60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18"/>
        </w:rPr>
        <w:t>Hrs. sem.: horas por semana. Hrs. año: horas académicas por año. Créd.: créditos. AE: Admisión Especial. CPF: Curso Prefacultativo. PSA: Prueba de Suficiencia Académica. Ciclo básico: primer y segundo año; ciclo profesional: tercer y cuarto año; ciclo de integración y profundización: quinto año.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4.4.4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Cuadro de asignación de cargas horarias presenciales, no presenciales (según formato)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plan se desarrolla en modalidad presencial y régimen anual durante cinco años. La carga horaria por año, distinguiendo horas presenciales y no presenciales, es la siguiente: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9. Asignación de cargas horarias por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94"/>
        <w:gridCol w:w="907"/>
        <w:gridCol w:w="1077"/>
        <w:gridCol w:w="1077"/>
        <w:gridCol w:w="1020"/>
        <w:gridCol w:w="1020"/>
        <w:gridCol w:w="794"/>
        <w:gridCol w:w="1020"/>
      </w:tblGrid>
      <w:tr>
        <w:trPr>
          <w:tblHeader/>
        </w:trPr>
        <w:tc>
          <w:tcPr>
            <w:tcW w:type="dxa" w:w="136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Año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Asig.</w:t>
            </w:r>
          </w:p>
        </w:tc>
        <w:tc>
          <w:tcPr>
            <w:tcW w:type="dxa" w:w="90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sem.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acad. año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reloj pres.</w:t>
            </w:r>
          </w:p>
        </w:tc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no pres.</w:t>
            </w:r>
          </w:p>
        </w:tc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Hrs. trabajo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Créd.</w:t>
            </w:r>
          </w:p>
        </w:tc>
        <w:tc>
          <w:tcPr>
            <w:tcW w:type="dxa" w:w="10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% hrs. acad.</w:t>
            </w:r>
          </w:p>
        </w:tc>
      </w:tr>
      <w:tr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Primer año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1.040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780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780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1.560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17,33</w:t>
            </w:r>
          </w:p>
        </w:tc>
      </w:tr>
      <w:tr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Segundo año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1.200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1.800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20,00</w:t>
            </w:r>
          </w:p>
        </w:tc>
      </w:tr>
      <w:tr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Tercer año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1.280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960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960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1.920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21,33</w:t>
            </w:r>
          </w:p>
        </w:tc>
      </w:tr>
      <w:tr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Cuarto año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1.280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960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960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1.920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21,33</w:t>
            </w:r>
          </w:p>
        </w:tc>
      </w:tr>
      <w:tr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Quinto año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1.200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1.800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20,00</w:t>
            </w:r>
          </w:p>
        </w:tc>
      </w:tr>
      <w:tr>
        <w:tc>
          <w:tcPr>
            <w:tcW w:type="dxa" w:w="13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Total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43</w:t>
            </w:r>
          </w:p>
        </w:tc>
        <w:tc>
          <w:tcPr>
            <w:tcW w:type="dxa" w:w="90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150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6.000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4.500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4.500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9.000</w:t>
            </w:r>
          </w:p>
        </w:tc>
        <w:tc>
          <w:tcPr>
            <w:tcW w:type="dxa" w:w="79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300</w:t>
            </w:r>
          </w:p>
        </w:tc>
        <w:tc>
          <w:tcPr>
            <w:tcW w:type="dxa" w:w="10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100,00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 w:val="0"/>
          <w:i w:val="0"/>
          <w:sz w:val="16"/>
        </w:rPr>
        <w:t>Asig.: asignaturas. Hrs. sem.: horas por semana. Hrs. acad. año: horas académicas por año. Hrs. reloj pres.: horas reloj presenciales. Hrs. no pres.: horas no presenciales. Créd.: créditos. Fuente: elaboración con base en la malla curricular 2027 y el sistema de créditos del punto 4.3.5.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Cada asignatura de 4 horas semanales suma 160 horas académicas al año, equivalentes a 120 horas reloj presenciales y 120 horas no presenciales, es decir, 240 horas de trabajo y 8 créditos. Cada asignatura de 2 horas semanales suma 80 horas académicas, 60 horas reloj presenciales, 60 no presenciales, 120 horas de trabajo y 4 créditos. El plan totaliza 300 créditos, conforme al normalizador de la UMSA. La distribución anual varía entre 52 y 64 créditos; el ajuste fino de la carga por asignatura y la distinción de horas teóricas, prácticas y de laboratorio se consignan en cada plan de asignatura, según el formato de cálculo de horas de la Universidad.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