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Aspectos Académicos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4.6</w:t>
        <w:tab/>
      </w:r>
      <w:r>
        <w:rPr>
          <w:rFonts w:ascii="Century Gothic" w:hAnsi="Century Gothic" w:cs="Century Gothic" w:eastAsia="Century Gothic"/>
          <w:b/>
          <w:i w:val="0"/>
          <w:sz w:val="24"/>
        </w:rPr>
        <w:t>Estrategias de aprendizaje y estrategias de enseñanza (estrategias, métodos, tipos, recursos)</w:t>
      </w:r>
    </w:p>
    <w:p>
      <w:pPr>
        <w:spacing w:before="0" w:after="200" w:line="240" w:lineRule="auto"/>
        <w:jc w:val="both"/>
      </w:pPr>
      <w:r>
        <w:rPr>
          <w:rFonts w:ascii="Century Gothic" w:hAnsi="Century Gothic" w:cs="Century Gothic" w:eastAsia="Century Gothic"/>
          <w:b w:val="0"/>
          <w:i w:val="0"/>
          <w:sz w:val="20"/>
        </w:rPr>
        <w:t>El Artículo 12 de la Resolución HCU N.º 032/2025 exige diferenciar las estrategias de aprendizaje que emplean los estudiantes de las estrategias de enseñanza que utiliza el docente, que ambas sean coherentes con los elementos de competencia, la unidad de competencia, el perfil y el modelo educativo, y que contemplen actividades autónomas y colectivas. En concordancia con el modelo por competencias y la pedagogía dialogante constructivista, el docente actúa como mediador del aprendizaje y el estudiante como constructor activo de su conocimiento.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4.6.1</w:t>
        <w:tab/>
      </w:r>
      <w:r>
        <w:rPr>
          <w:rFonts w:ascii="Century Gothic" w:hAnsi="Century Gothic" w:cs="Century Gothic" w:eastAsia="Century Gothic"/>
          <w:b/>
          <w:i w:val="0"/>
          <w:sz w:val="22"/>
        </w:rPr>
        <w:t>Estrategias de aprendizaje</w:t>
      </w:r>
    </w:p>
    <w:p>
      <w:pPr>
        <w:spacing w:before="0" w:after="200" w:line="240" w:lineRule="auto"/>
        <w:jc w:val="both"/>
      </w:pPr>
      <w:r>
        <w:rPr>
          <w:rFonts w:ascii="Century Gothic" w:hAnsi="Century Gothic" w:cs="Century Gothic" w:eastAsia="Century Gothic"/>
          <w:b w:val="0"/>
          <w:i w:val="0"/>
          <w:sz w:val="20"/>
        </w:rPr>
        <w:t>Son las acciones que el estudiante realiza para construir, aplicar y demostrar sus competencias:</w:t>
      </w:r>
    </w:p>
    <w:p>
      <w:pPr>
        <w:keepNext/>
        <w:spacing w:before="40" w:after="80" w:line="240" w:lineRule="auto"/>
        <w:jc w:val="center"/>
      </w:pPr>
      <w:r>
        <w:rPr>
          <w:rFonts w:ascii="Century Gothic" w:hAnsi="Century Gothic" w:cs="Century Gothic" w:eastAsia="Century Gothic"/>
          <w:b/>
          <w:i w:val="0"/>
          <w:sz w:val="20"/>
        </w:rPr>
        <w:t>Cuadro 1. Estrategias de aprendizaje del estudiante</w:t>
      </w:r>
    </w:p>
    <w:tbl>
      <w:tblPr>
        <w:tblW w:type="auto" w:w="0"/>
        <w:jc w:val="center"/>
        <w:tblLayout w:type="fixed"/>
        <w:tblLook w:firstColumn="1" w:firstRow="1" w:lastColumn="0" w:lastRow="0" w:noHBand="0" w:noVBand="1" w:val="04A0"/>
      </w:tblPr>
      <w:tblGrid>
        <w:gridCol w:w="2268"/>
        <w:gridCol w:w="5102"/>
        <w:gridCol w:w="1701"/>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Estrategia</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Tipo de actividad</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Lectura previa y análisis normativo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Estudio anticipado de normas, textos y casos, con elaboración de mapas conceptuales y cuadros sinópticos que muestren el conocimiento construido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Autónoma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Resolución de casos y problemas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Análisis y solución de situaciones reales o simuladas de organizaciones públicas y privadas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Autónoma y colectiva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Proyectos integradores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de proyectos con organizaciones reales que integran saberes de varias asignaturas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Colectiva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Práctica en laboratorio y simuladores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Operación de software contable, sistemas de gestión empresarial, plataformas del Servicio de Impuestos Nacionales y herramientas de análisis de datos y auditoría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Autónoma y colectiva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Elaboración de papeles de trabajo e informes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Preparación de papeles de trabajo, estados financieros, informes de auditoría y de sostenibilidad</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Autónoma y colectiva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Investigación formativa</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Indagación documental y de campo sobre problemas de la profesión, articulada con las líneas del Instituto de Investigaciones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Autónoma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Aprendizaje cooperativo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Trabajo en equipos con roles definidos, discusión de casos y coevaluación</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Colectiva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Uso crítico de inteligencia artificial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Empleo de herramientas de inteligencia artificial para consultar, comparar y verificar información, evitando la copia mecánica y justificando el razonamiento propio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Autónoma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Autoevaluación y portafolio</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Reflexión sobre el propio avance y compilación de evidencias de desempeño, de producto y de conocimiento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Autónoma</w:t>
            </w:r>
          </w:p>
        </w:tc>
      </w:tr>
    </w:tbl>
    <w:p>
      <w:pPr>
        <w:spacing w:before="0" w:after="120" w:line="240" w:lineRule="auto"/>
        <w:jc w:val="left"/>
      </w:pP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4.6.2</w:t>
        <w:tab/>
      </w:r>
      <w:r>
        <w:rPr>
          <w:rFonts w:ascii="Century Gothic" w:hAnsi="Century Gothic" w:cs="Century Gothic" w:eastAsia="Century Gothic"/>
          <w:b/>
          <w:i w:val="0"/>
          <w:sz w:val="22"/>
        </w:rPr>
        <w:t>Estrategias de enseñanza</w:t>
      </w:r>
    </w:p>
    <w:p>
      <w:pPr>
        <w:spacing w:before="0" w:after="200" w:line="240" w:lineRule="auto"/>
        <w:jc w:val="both"/>
      </w:pPr>
      <w:r>
        <w:rPr>
          <w:rFonts w:ascii="Century Gothic" w:hAnsi="Century Gothic" w:cs="Century Gothic" w:eastAsia="Century Gothic"/>
          <w:b w:val="0"/>
          <w:i w:val="0"/>
          <w:sz w:val="20"/>
        </w:rPr>
        <w:t>Son las acciones que el docente planifica y ejecuta para mediar el aprendizaje. Al planificarlas considera la definición previa de los resultados de aprendizaje, la diversidad de estilos y ritmos de los estudiantes, la retroalimentación continua, la distribución del tiempo y la evaluación de la eficacia de los métodos empleados. Sus principales componentes son:</w:t>
      </w:r>
    </w:p>
    <w:p>
      <w:pPr>
        <w:numPr>
          <w:ilvl w:val="0"/>
          <w:numId w:val="901"/>
        </w:numPr>
        <w:spacing w:before="0" w:after="160" w:line="240" w:lineRule="auto"/>
        <w:jc w:val="both"/>
      </w:pPr>
      <w:r>
        <w:rPr>
          <w:rFonts w:ascii="Century Gothic" w:hAnsi="Century Gothic" w:cs="Century Gothic" w:eastAsia="Century Gothic"/>
          <w:b/>
          <w:i w:val="0"/>
          <w:sz w:val="20"/>
        </w:rPr>
        <w:t>Presentación del plan de asignatura:</w:t>
      </w:r>
      <w:r>
        <w:rPr>
          <w:rFonts w:ascii="Century Gothic" w:hAnsi="Century Gothic" w:cs="Century Gothic" w:eastAsia="Century Gothic"/>
          <w:b w:val="0"/>
          <w:i w:val="0"/>
          <w:sz w:val="20"/>
        </w:rPr>
        <w:t xml:space="preserve"> al inicio de la gestión el docente presenta la finalidad de la asignatura en relación con la vida profesional, la unidad y los elementos de competencia, los contenidos y los procedimientos de evaluación.</w:t>
      </w:r>
    </w:p>
    <w:p>
      <w:pPr>
        <w:numPr>
          <w:ilvl w:val="0"/>
          <w:numId w:val="901"/>
        </w:numPr>
        <w:spacing w:before="0" w:after="160" w:line="240" w:lineRule="auto"/>
        <w:jc w:val="both"/>
      </w:pPr>
      <w:r>
        <w:rPr>
          <w:rFonts w:ascii="Century Gothic" w:hAnsi="Century Gothic" w:cs="Century Gothic" w:eastAsia="Century Gothic"/>
          <w:b/>
          <w:i w:val="0"/>
          <w:sz w:val="20"/>
        </w:rPr>
        <w:t>Desarrollo dialogado de contenidos:</w:t>
      </w:r>
      <w:r>
        <w:rPr>
          <w:rFonts w:ascii="Century Gothic" w:hAnsi="Century Gothic" w:cs="Century Gothic" w:eastAsia="Century Gothic"/>
          <w:b w:val="0"/>
          <w:i w:val="0"/>
          <w:sz w:val="20"/>
        </w:rPr>
        <w:t xml:space="preserve"> el docente desarrolla los contenidos significativos de cada tema, plantea preguntas abiertas y propone prácticas, temas de investigación y casos con información real; no delega al estudiante el desarrollo de los contenidos.</w:t>
      </w:r>
    </w:p>
    <w:p>
      <w:pPr>
        <w:numPr>
          <w:ilvl w:val="0"/>
          <w:numId w:val="901"/>
        </w:numPr>
        <w:spacing w:before="0" w:after="160" w:line="240" w:lineRule="auto"/>
        <w:jc w:val="both"/>
      </w:pPr>
      <w:r>
        <w:rPr>
          <w:rFonts w:ascii="Century Gothic" w:hAnsi="Century Gothic" w:cs="Century Gothic" w:eastAsia="Century Gothic"/>
          <w:b/>
          <w:i w:val="0"/>
          <w:sz w:val="20"/>
        </w:rPr>
        <w:t>Diseño de casos y simulaciones:</w:t>
      </w:r>
      <w:r>
        <w:rPr>
          <w:rFonts w:ascii="Century Gothic" w:hAnsi="Century Gothic" w:cs="Century Gothic" w:eastAsia="Century Gothic"/>
          <w:b w:val="0"/>
          <w:i w:val="0"/>
          <w:sz w:val="20"/>
        </w:rPr>
        <w:t xml:space="preserve"> prepara casos de análisis, simulaciones de firmas de auditoría y consultoría, y prácticas de laboratorio con software especializado.</w:t>
      </w:r>
    </w:p>
    <w:p>
      <w:pPr>
        <w:numPr>
          <w:ilvl w:val="0"/>
          <w:numId w:val="901"/>
        </w:numPr>
        <w:spacing w:before="0" w:after="160" w:line="240" w:lineRule="auto"/>
        <w:jc w:val="both"/>
      </w:pPr>
      <w:r>
        <w:rPr>
          <w:rFonts w:ascii="Century Gothic" w:hAnsi="Century Gothic" w:cs="Century Gothic" w:eastAsia="Century Gothic"/>
          <w:b/>
          <w:i w:val="0"/>
          <w:sz w:val="20"/>
        </w:rPr>
        <w:t>Tutoría y retroalimentación:</w:t>
      </w:r>
      <w:r>
        <w:rPr>
          <w:rFonts w:ascii="Century Gothic" w:hAnsi="Century Gothic" w:cs="Century Gothic" w:eastAsia="Century Gothic"/>
          <w:b w:val="0"/>
          <w:i w:val="0"/>
          <w:sz w:val="20"/>
        </w:rPr>
        <w:t xml:space="preserve"> acompaña el avance de los estudiantes mediante la revisión de prácticas, la retroalimentación oportuna y el diálogo sobre los resultados obtenidos.</w:t>
      </w:r>
    </w:p>
    <w:p>
      <w:pPr>
        <w:numPr>
          <w:ilvl w:val="0"/>
          <w:numId w:val="901"/>
        </w:numPr>
        <w:spacing w:before="0" w:after="160" w:line="240" w:lineRule="auto"/>
        <w:jc w:val="both"/>
      </w:pPr>
      <w:r>
        <w:rPr>
          <w:rFonts w:ascii="Century Gothic" w:hAnsi="Century Gothic" w:cs="Century Gothic" w:eastAsia="Century Gothic"/>
          <w:b/>
          <w:i w:val="0"/>
          <w:sz w:val="20"/>
        </w:rPr>
        <w:t>Vinculación con el medio:</w:t>
      </w:r>
      <w:r>
        <w:rPr>
          <w:rFonts w:ascii="Century Gothic" w:hAnsi="Century Gothic" w:cs="Century Gothic" w:eastAsia="Century Gothic"/>
          <w:b w:val="0"/>
          <w:i w:val="0"/>
          <w:sz w:val="20"/>
        </w:rPr>
        <w:t xml:space="preserve"> organiza visitas, proyectos y actividades con entidades públicas y privadas, y orienta las prácticas preprofesionales.</w:t>
      </w:r>
    </w:p>
    <w:p>
      <w:pPr>
        <w:numPr>
          <w:ilvl w:val="0"/>
          <w:numId w:val="901"/>
        </w:numPr>
        <w:spacing w:before="0" w:after="200" w:line="240" w:lineRule="auto"/>
        <w:jc w:val="both"/>
      </w:pPr>
      <w:r>
        <w:rPr>
          <w:rFonts w:ascii="Century Gothic" w:hAnsi="Century Gothic" w:cs="Century Gothic" w:eastAsia="Century Gothic"/>
          <w:b/>
          <w:i w:val="0"/>
          <w:sz w:val="20"/>
        </w:rPr>
        <w:t>Actualización permanente:</w:t>
      </w:r>
      <w:r>
        <w:rPr>
          <w:rFonts w:ascii="Century Gothic" w:hAnsi="Century Gothic" w:cs="Century Gothic" w:eastAsia="Century Gothic"/>
          <w:b w:val="0"/>
          <w:i w:val="0"/>
          <w:sz w:val="20"/>
        </w:rPr>
        <w:t xml:space="preserve"> incorpora los cambios normativos, tecnológicos y del entorno de las organizaciones a sus clases.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4.6.3</w:t>
        <w:tab/>
      </w:r>
      <w:r>
        <w:rPr>
          <w:rFonts w:ascii="Century Gothic" w:hAnsi="Century Gothic" w:cs="Century Gothic" w:eastAsia="Century Gothic"/>
          <w:b/>
          <w:i w:val="0"/>
          <w:sz w:val="22"/>
        </w:rPr>
        <w:t>Métodos</w:t>
      </w:r>
    </w:p>
    <w:p>
      <w:pPr>
        <w:spacing w:before="0" w:after="200" w:line="240" w:lineRule="auto"/>
        <w:jc w:val="both"/>
      </w:pPr>
      <w:r>
        <w:rPr>
          <w:rFonts w:ascii="Century Gothic" w:hAnsi="Century Gothic" w:cs="Century Gothic" w:eastAsia="Century Gothic"/>
          <w:b w:val="0"/>
          <w:i w:val="0"/>
          <w:sz w:val="20"/>
        </w:rPr>
        <w:t>Según la naturaleza de cada tema, el docente selecciona y combina los siguientes métodos, con preferencia por los métodos activos:</w:t>
      </w:r>
    </w:p>
    <w:p>
      <w:pPr>
        <w:keepNext/>
        <w:spacing w:before="40" w:after="80" w:line="240" w:lineRule="auto"/>
        <w:jc w:val="center"/>
      </w:pPr>
      <w:r>
        <w:rPr>
          <w:rFonts w:ascii="Century Gothic" w:hAnsi="Century Gothic" w:cs="Century Gothic" w:eastAsia="Century Gothic"/>
          <w:b/>
          <w:i w:val="0"/>
          <w:sz w:val="20"/>
        </w:rPr>
        <w:t>Cuadro 2. Métodos de enseñanza y aprendizaje</w:t>
      </w:r>
    </w:p>
    <w:tbl>
      <w:tblPr>
        <w:tblW w:type="auto" w:w="0"/>
        <w:jc w:val="center"/>
        <w:tblLayout w:type="fixed"/>
        <w:tblLook w:firstColumn="1" w:firstRow="1" w:lastColumn="0" w:lastRow="0" w:noHBand="0" w:noVBand="1" w:val="04A0"/>
      </w:tblPr>
      <w:tblGrid>
        <w:gridCol w:w="3118"/>
        <w:gridCol w:w="5953"/>
      </w:tblGrid>
      <w:tr>
        <w:trPr>
          <w:tblHeader/>
        </w:trPr>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Método</w:t>
            </w:r>
          </w:p>
        </w:tc>
        <w:tc>
          <w:tcPr>
            <w:tcW w:type="dxa" w:w="595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Uso principal en la Carrera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Expositivo dialogado</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Presentación de marcos conceptuales y normativos con participación de los estudiantes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Estudio de casos</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Análisis de situaciones contables, tributarias y de auditoría de organizaciones reales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Aprendizaje basado en problemas</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Resolución de problemas profesionales abiertos que exigen integrar saberes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Aprendizaje basado en proyectos</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Proyectos integradores con organizaciones públicas, privadas y sociales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Simulación</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Simulación de firmas de auditoría y consultoría, cierres contables y procesos tributarios en laboratorio</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Demostración</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Ejecución guiada de procedimientos en software contable, de gestión empresarial y de auditoría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Aprendizaje cooperativo</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Trabajo en equipos multidisciplinarios con roles y responsabilidades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Inductivo y deductivo</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Construcción de principios a partir de casos y aplicación de normas a situaciones concretas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Investigación formativa</w:t>
            </w:r>
          </w:p>
        </w:tc>
        <w:tc>
          <w:tcPr>
            <w:tcW w:type="dxa" w:w="59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de trabajos de indagación vinculados a las modalidades de graduación</w:t>
            </w:r>
          </w:p>
        </w:tc>
      </w:tr>
    </w:tbl>
    <w:p>
      <w:pPr>
        <w:spacing w:before="0" w:after="120" w:line="240" w:lineRule="auto"/>
        <w:jc w:val="left"/>
      </w:pP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4.6.4</w:t>
        <w:tab/>
      </w:r>
      <w:r>
        <w:rPr>
          <w:rFonts w:ascii="Century Gothic" w:hAnsi="Century Gothic" w:cs="Century Gothic" w:eastAsia="Century Gothic"/>
          <w:b/>
          <w:i w:val="0"/>
          <w:sz w:val="22"/>
        </w:rPr>
        <w:t>Tipos de actividades</w:t>
      </w:r>
    </w:p>
    <w:p>
      <w:pPr>
        <w:spacing w:before="0" w:after="200" w:line="240" w:lineRule="auto"/>
        <w:jc w:val="both"/>
      </w:pPr>
      <w:r>
        <w:rPr>
          <w:rFonts w:ascii="Century Gothic" w:hAnsi="Century Gothic" w:cs="Century Gothic" w:eastAsia="Century Gothic"/>
          <w:b w:val="0"/>
          <w:i w:val="0"/>
          <w:sz w:val="20"/>
        </w:rPr>
        <w:t>Las actividades se organizan según la carga horaria presencial y no presencial de cada asignatura, definida en el punto 4.4.4:</w:t>
      </w:r>
    </w:p>
    <w:p>
      <w:pPr>
        <w:numPr>
          <w:ilvl w:val="0"/>
          <w:numId w:val="902"/>
        </w:numPr>
        <w:spacing w:before="0" w:after="160" w:line="240" w:lineRule="auto"/>
        <w:jc w:val="both"/>
      </w:pPr>
      <w:r>
        <w:rPr>
          <w:rFonts w:ascii="Century Gothic" w:hAnsi="Century Gothic" w:cs="Century Gothic" w:eastAsia="Century Gothic"/>
          <w:b/>
          <w:i w:val="0"/>
          <w:sz w:val="20"/>
        </w:rPr>
        <w:t>Actividades presenciales:</w:t>
      </w:r>
      <w:r>
        <w:rPr>
          <w:rFonts w:ascii="Century Gothic" w:hAnsi="Century Gothic" w:cs="Century Gothic" w:eastAsia="Century Gothic"/>
          <w:b w:val="0"/>
          <w:i w:val="0"/>
          <w:sz w:val="20"/>
        </w:rPr>
        <w:t xml:space="preserve"> clases teóricas dialogadas, prácticas, laboratorios, talleres, seminarios, gabinetes, defensas de casos y visitas de campo, bajo supervisión docente y con apoyo de los auxiliares de docencia.</w:t>
      </w:r>
    </w:p>
    <w:p>
      <w:pPr>
        <w:numPr>
          <w:ilvl w:val="0"/>
          <w:numId w:val="902"/>
        </w:numPr>
        <w:spacing w:before="0" w:after="160" w:line="240" w:lineRule="auto"/>
        <w:jc w:val="both"/>
      </w:pPr>
      <w:r>
        <w:rPr>
          <w:rFonts w:ascii="Century Gothic" w:hAnsi="Century Gothic" w:cs="Century Gothic" w:eastAsia="Century Gothic"/>
          <w:b/>
          <w:i w:val="0"/>
          <w:sz w:val="20"/>
        </w:rPr>
        <w:t>Actividades no presenciales autónomas:</w:t>
      </w:r>
      <w:r>
        <w:rPr>
          <w:rFonts w:ascii="Century Gothic" w:hAnsi="Century Gothic" w:cs="Century Gothic" w:eastAsia="Century Gothic"/>
          <w:b w:val="0"/>
          <w:i w:val="0"/>
          <w:sz w:val="20"/>
        </w:rPr>
        <w:t xml:space="preserve"> lectura, búsqueda de información, resolución de ejercicios, elaboración de ensayos, papeles de trabajo e informes, y preparación de evaluaciones.</w:t>
      </w:r>
    </w:p>
    <w:p>
      <w:pPr>
        <w:numPr>
          <w:ilvl w:val="0"/>
          <w:numId w:val="902"/>
        </w:numPr>
        <w:spacing w:before="0" w:after="160" w:line="240" w:lineRule="auto"/>
        <w:jc w:val="both"/>
      </w:pPr>
      <w:r>
        <w:rPr>
          <w:rFonts w:ascii="Century Gothic" w:hAnsi="Century Gothic" w:cs="Century Gothic" w:eastAsia="Century Gothic"/>
          <w:b/>
          <w:i w:val="0"/>
          <w:sz w:val="20"/>
        </w:rPr>
        <w:t>Actividades colectivas:</w:t>
      </w:r>
      <w:r>
        <w:rPr>
          <w:rFonts w:ascii="Century Gothic" w:hAnsi="Century Gothic" w:cs="Century Gothic" w:eastAsia="Century Gothic"/>
          <w:b w:val="0"/>
          <w:i w:val="0"/>
          <w:sz w:val="20"/>
        </w:rPr>
        <w:t xml:space="preserve"> proyectos en equipo, estudios de caso grupales, proyectos de interacción social y prácticas preprofesionales.</w:t>
      </w:r>
    </w:p>
    <w:p>
      <w:pPr>
        <w:numPr>
          <w:ilvl w:val="0"/>
          <w:numId w:val="902"/>
        </w:numPr>
        <w:spacing w:before="0" w:after="200" w:line="240" w:lineRule="auto"/>
        <w:jc w:val="both"/>
      </w:pPr>
      <w:r>
        <w:rPr>
          <w:rFonts w:ascii="Century Gothic" w:hAnsi="Century Gothic" w:cs="Century Gothic" w:eastAsia="Century Gothic"/>
          <w:b/>
          <w:i w:val="0"/>
          <w:sz w:val="20"/>
        </w:rPr>
        <w:t>Actividades en entornos virtuales:</w:t>
      </w:r>
      <w:r>
        <w:rPr>
          <w:rFonts w:ascii="Century Gothic" w:hAnsi="Century Gothic" w:cs="Century Gothic" w:eastAsia="Century Gothic"/>
          <w:b w:val="0"/>
          <w:i w:val="0"/>
          <w:sz w:val="20"/>
        </w:rPr>
        <w:t xml:space="preserve"> foros, tareas, controles de lectura y evaluaciones en línea en la plataforma virtual de la Carrera, que refuerzan el aprendizaje en aula y facilitan la participación del estudiante que trabaja.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4.6.5</w:t>
        <w:tab/>
      </w:r>
      <w:r>
        <w:rPr>
          <w:rFonts w:ascii="Century Gothic" w:hAnsi="Century Gothic" w:cs="Century Gothic" w:eastAsia="Century Gothic"/>
          <w:b/>
          <w:i w:val="0"/>
          <w:sz w:val="22"/>
        </w:rPr>
        <w:t>Recursos</w:t>
      </w:r>
    </w:p>
    <w:p>
      <w:pPr>
        <w:spacing w:before="0" w:after="200" w:line="240" w:lineRule="auto"/>
        <w:jc w:val="both"/>
      </w:pPr>
      <w:r>
        <w:rPr>
          <w:rFonts w:ascii="Century Gothic" w:hAnsi="Century Gothic" w:cs="Century Gothic" w:eastAsia="Century Gothic"/>
          <w:b w:val="0"/>
          <w:i w:val="0"/>
          <w:sz w:val="20"/>
        </w:rPr>
        <w:t>Los recursos se seleccionan en coherencia con los resultados de aprendizaje y con criterios de accesibilidad para todos los estudiantes:</w:t>
      </w:r>
    </w:p>
    <w:p>
      <w:pPr>
        <w:keepNext/>
        <w:spacing w:before="40" w:after="80" w:line="240" w:lineRule="auto"/>
        <w:jc w:val="center"/>
      </w:pPr>
      <w:r>
        <w:rPr>
          <w:rFonts w:ascii="Century Gothic" w:hAnsi="Century Gothic" w:cs="Century Gothic" w:eastAsia="Century Gothic"/>
          <w:b/>
          <w:i w:val="0"/>
          <w:sz w:val="20"/>
        </w:rPr>
        <w:t>Cuadro 3. Recursos de aprendizaje</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Tipo</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Recursos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Impresos y normativos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Libros de texto, normas contables, de auditoría, de sostenibilidad y tributarias, y casos de estudio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Tecnológicos de aula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Proyectores multimedia, pizarras, equipos de sonido y dispositivos que favorecen la interacción entre docentes y estudiantes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Laboratorio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Laboratorios de computación con software contable, sistemas de gestión empresarial, software de auditoría y herramientas de análisis de datos e inteligencia de negocios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Digitales y virtuales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Plataforma virtual de la Carrera, salas de videoconferencia, material en versión digital, bibliotecas y bases de datos en línea, como el repositorio institucional, Research4Life, SciELO, Scopus y Dialnet</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Del entorno profesional</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Información real de organizaciones, plataformas oficiales del Servicio de Impuestos Nacionales y de la Contraloría General del Estado, y espacios de práctica en entidades con convenio</w:t>
            </w:r>
          </w:p>
        </w:tc>
      </w:tr>
    </w:tbl>
    <w:p>
      <w:pPr>
        <w:spacing w:before="40" w:after="200" w:line="240" w:lineRule="auto"/>
        <w:jc w:val="left"/>
      </w:pPr>
      <w:r>
        <w:rPr>
          <w:rFonts w:ascii="Century Gothic" w:hAnsi="Century Gothic" w:cs="Century Gothic" w:eastAsia="Century Gothic"/>
          <w:b w:val="0"/>
          <w:i w:val="0"/>
          <w:sz w:val="16"/>
        </w:rPr>
        <w:t>Los recursos disponibles se detallan en los puntos 9, 10 y 14.</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