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Atención a la Recomendación 1</w:t>
      </w:r>
    </w:p>
    <w:p>
      <w:pPr>
        <w:spacing w:before="0" w:after="240" w:line="240" w:lineRule="auto"/>
        <w:jc w:val="center"/>
      </w:pPr>
      <w:r>
        <w:rPr>
          <w:rFonts w:ascii="Century Gothic" w:hAnsi="Century Gothic" w:cs="Century Gothic" w:eastAsia="Century Gothic"/>
          <w:b w:val="0"/>
          <w:i/>
          <w:sz w:val="20"/>
        </w:rPr>
        <w:t>Documentación metodológica del estudio de mercado laboral y proyecciones de demanda</w:t>
      </w:r>
    </w:p>
    <w:p>
      <w:pPr>
        <w:spacing w:before="0" w:after="240" w:line="240" w:lineRule="auto"/>
        <w:jc w:val="center"/>
      </w:pPr>
      <w:r>
        <w:rPr>
          <w:rFonts w:ascii="Century Gothic" w:hAnsi="Century Gothic" w:cs="Century Gothic" w:eastAsia="Century Gothic"/>
          <w:b w:val="0"/>
          <w:i/>
          <w:sz w:val="20"/>
        </w:rPr>
        <w:t>Propuesta para revisión de la Comisión Académica</w:t>
      </w:r>
    </w:p>
    <w:p>
      <w:pPr>
        <w:keepNext/>
        <w:spacing w:before="160" w:after="200" w:line="240" w:lineRule="auto"/>
        <w:jc w:val="left"/>
      </w:pPr>
      <w:r>
        <w:rPr>
          <w:rFonts w:ascii="Century Gothic" w:hAnsi="Century Gothic" w:cs="Century Gothic" w:eastAsia="Century Gothic"/>
          <w:b/>
          <w:i w:val="0"/>
          <w:sz w:val="24"/>
        </w:rPr>
        <w:t>Parte I. Observación y alcance de la propuesta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Recomendación de Secretaría Académica (Nota STRIA.ACAD. N.º 1793/2026):</w:t>
            </w:r>
          </w:p>
          <w:p>
            <w:pPr>
              <w:spacing w:before="60" w:after="60" w:line="240" w:lineRule="auto"/>
              <w:jc w:val="both"/>
            </w:pPr>
            <w:r>
              <w:rPr>
                <w:rFonts w:ascii="Century Gothic" w:hAnsi="Century Gothic" w:cs="Century Gothic" w:eastAsia="Century Gothic"/>
                <w:b w:val="0"/>
                <w:i w:val="0"/>
                <w:sz w:val="20"/>
              </w:rPr>
              <w:t>«Condicionar la implementación administrativa a la presentación de evidencias de cumplimiento de las siguientes observaciones: Completar la documentación metodológica del estudio de mercado laboral y las proyecciones de demanda.»</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punto 3.3 del Rediseño Curricular presenta los resultados del estudio de Ipsos CIESMORI, de la Encuesta de demanda laboral del BID y del diagnóstico FODA del Instituto de Investigaciones de Ciencias Contables, Financieras y Auditoría (IICCFA), pero no describe cómo se obtuvieron: universo, técnica, periodo, tamaño de la muestra, tratamiento de los datos ni límites de cada fuente. El punto 11.1.1, por su parte, presenta la serie de estudiantes de 2021 a 2026 sin proyectarla al periodo de implementación del plan.</w:t>
      </w:r>
    </w:p>
    <w:p>
      <w:pPr>
        <w:spacing w:before="0" w:after="200" w:line="240" w:lineRule="auto"/>
        <w:jc w:val="both"/>
      </w:pPr>
      <w:r>
        <w:rPr>
          <w:rFonts w:ascii="Century Gothic" w:hAnsi="Century Gothic" w:cs="Century Gothic" w:eastAsia="Century Gothic"/>
          <w:b w:val="0"/>
          <w:i w:val="0"/>
          <w:sz w:val="20"/>
        </w:rPr>
        <w:t>Esta propuesta completa ambos aspectos exclusivamente con información que ya forma parte de la base documental del Rediseño Curricular y con datos oficiales publicados, sin incorporar cifras estimadas que no tengan su fuente y su método de cálculo declarados. Contiene el texto listo para incorporar como nuevos subpuntos 3.3.5 y 3.3.6, y los ajustes de concordancia en otros puntos del documento.</w:t>
      </w:r>
    </w:p>
    <w:p>
      <w:pPr>
        <w:keepNext/>
        <w:spacing w:before="40" w:after="80" w:line="240" w:lineRule="auto"/>
        <w:jc w:val="center"/>
      </w:pPr>
      <w:r>
        <w:rPr>
          <w:rFonts w:ascii="Century Gothic" w:hAnsi="Century Gothic" w:cs="Century Gothic" w:eastAsia="Century Gothic"/>
          <w:b/>
          <w:i w:val="0"/>
          <w:sz w:val="20"/>
        </w:rPr>
        <w:t>Cuadro A. Criterios de la Resolución HCU N.º 032/2025 que atiende la propuesta</w:t>
      </w:r>
    </w:p>
    <w:tbl>
      <w:tblPr>
        <w:tblW w:type="auto" w:w="0"/>
        <w:jc w:val="center"/>
        <w:tblLayout w:type="fixed"/>
        <w:tblLook w:firstColumn="1" w:firstRow="1" w:lastColumn="0" w:lastRow="0" w:noHBand="0" w:noVBand="1" w:val="04A0"/>
      </w:tblPr>
      <w:tblGrid>
        <w:gridCol w:w="2835"/>
        <w:gridCol w:w="3969"/>
        <w:gridCol w:w="2268"/>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Disposición</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Exigencia</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Dónde se atiende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5, parágrafo I</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rediseño se realiza en base al análisis de contexto y el mercado laboral.</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11, parágrafo III (Pertinencia)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plan se diseña en base al levantamiento de información del medio externo.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3.3.5</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Justificación de la innovación curricular</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Diagnóstico del contexto económico y del mercado laboral; detección del mercado laboral, de las familias o áreas laborales y de las posibles empresas.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3.3.3, 3.3.5 y 3.3.6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Organización del proceso curricular</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Número mínimo y máximo de estudiantes por asignatura o paralelo.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3.3.6 y 8.6</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Material bibliográfico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Bibliografía de acuerdo con los planes de asignatura y el número proyectado de estudiantes.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3.3.6 y 9.1.2</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15, parágrafo II, numeral 1</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Seguimiento a titulados, entrevista a empleadores o estudio de mercado laboral como base de la declaratoria de necesidad.</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3.3.5 y 12.2</w:t>
            </w:r>
          </w:p>
        </w:tc>
      </w:tr>
    </w:tbl>
    <w:p>
      <w:pPr>
        <w:spacing w:before="40" w:after="200" w:line="240" w:lineRule="auto"/>
        <w:jc w:val="left"/>
      </w:pPr>
      <w:r>
        <w:rPr>
          <w:rFonts w:ascii="Century Gothic" w:hAnsi="Century Gothic" w:cs="Century Gothic" w:eastAsia="Century Gothic"/>
          <w:b w:val="0"/>
          <w:i w:val="0"/>
          <w:sz w:val="16"/>
        </w:rPr>
        <w:t>Fuente: Resolución HCU N.º 032/2025, Reglamento de Innovación Curricular de la UMSA.</w:t>
      </w:r>
    </w:p>
    <w:p>
      <w:pPr>
        <w:keepNext/>
        <w:spacing w:before="40" w:after="80" w:line="240" w:lineRule="auto"/>
        <w:jc w:val="center"/>
      </w:pPr>
      <w:r>
        <w:rPr>
          <w:rFonts w:ascii="Century Gothic" w:hAnsi="Century Gothic" w:cs="Century Gothic" w:eastAsia="Century Gothic"/>
          <w:b/>
          <w:i w:val="0"/>
          <w:sz w:val="20"/>
        </w:rPr>
        <w:t>Cuadro B. Resumen de los cambios propuestos</w:t>
      </w:r>
    </w:p>
    <w:tbl>
      <w:tblPr>
        <w:tblW w:type="auto" w:w="0"/>
        <w:jc w:val="center"/>
        <w:tblLayout w:type="fixed"/>
        <w:tblLook w:firstColumn="1" w:firstRow="1" w:lastColumn="0" w:lastRow="0" w:noHBand="0" w:noVBand="1" w:val="04A0"/>
      </w:tblPr>
      <w:tblGrid>
        <w:gridCol w:w="1247"/>
        <w:gridCol w:w="6406"/>
        <w:gridCol w:w="1417"/>
      </w:tblGrid>
      <w:tr>
        <w:trPr>
          <w:tblHeader/>
        </w:trPr>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640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Cambio</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3.3.5</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Metodología del estudio de mercado laboral: fuentes, fichas técnicas, precisión de las muestras, triangulación y limitaciones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Nuevo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3.3.6</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Proyecciones de demanda académica y laboral 2027–2031</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Nuevo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3.1.3</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Precisión de la fuente «encuesta propia de la Carrera» del Cuadro 10</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3.2.1</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Remisión a las fichas técnicas en la fila de Pertinencia del Cuadro 12</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3.3.2</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Periodo de la Encuesta del BID y remisión a su ficha técnica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3.4 y 3.5</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Renumeración de los Cuadros 24 a 33, que pasan a ser 33 a 42</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9.1.2</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Relación del acervo con las inscripciones proyectadas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11.1.1</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Remisión a las proyecciones del punto 3.3.6</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12.1.5</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Actualización anual de las proyecciones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12.2</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Consulta periódica a empleadores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bl>
    <w:p>
      <w:pPr>
        <w:spacing w:before="40" w:after="200" w:line="240" w:lineRule="auto"/>
        <w:jc w:val="left"/>
      </w:pPr>
      <w:r>
        <w:rPr>
          <w:rFonts w:ascii="Century Gothic" w:hAnsi="Century Gothic" w:cs="Century Gothic" w:eastAsia="Century Gothic"/>
          <w:b w:val="0"/>
          <w:i w:val="0"/>
          <w:sz w:val="16"/>
        </w:rPr>
        <w:t>Fuente: elaboración propia.</w:t>
      </w:r>
    </w:p>
    <w:p>
      <w:pPr>
        <w:spacing w:before="0" w:after="200" w:line="240" w:lineRule="auto"/>
        <w:jc w:val="both"/>
      </w:pPr>
      <w:r>
        <w:rPr>
          <w:rFonts w:ascii="Century Gothic" w:hAnsi="Century Gothic" w:cs="Century Gothic" w:eastAsia="Century Gothic"/>
          <w:b/>
          <w:i w:val="0"/>
          <w:sz w:val="20"/>
        </w:rPr>
        <w:t>Convenciones.</w:t>
      </w:r>
      <w:r>
        <w:rPr>
          <w:rFonts w:ascii="Century Gothic" w:hAnsi="Century Gothic" w:cs="Century Gothic" w:eastAsia="Century Gothic"/>
          <w:b w:val="0"/>
          <w:i w:val="0"/>
          <w:sz w:val="20"/>
        </w:rPr>
        <w:t xml:space="preserve"> El texto resaltado en </w:t>
      </w:r>
      <w:r>
        <w:rPr>
          <w:rFonts w:ascii="Century Gothic" w:hAnsi="Century Gothic" w:cs="Century Gothic" w:eastAsia="Century Gothic"/>
          <w:b w:val="0"/>
          <w:i w:val="0"/>
          <w:sz w:val="20"/>
          <w:highlight w:val="green"/>
        </w:rPr>
        <w:t>verde</w:t>
      </w:r>
      <w:r>
        <w:rPr>
          <w:rFonts w:ascii="Century Gothic" w:hAnsi="Century Gothic" w:cs="Century Gothic" w:eastAsia="Century Gothic"/>
          <w:b w:val="0"/>
          <w:i w:val="0"/>
          <w:sz w:val="20"/>
        </w:rPr>
        <w:t xml:space="preserve"> proviene de publicaciones oficiales consultadas en línea (BID y SEPREC) y conviene cotejarlo con el documento original antes de la impresión. El texto resaltado en </w:t>
      </w:r>
      <w:r>
        <w:rPr>
          <w:rFonts w:ascii="Century Gothic" w:hAnsi="Century Gothic" w:cs="Century Gothic" w:eastAsia="Century Gothic"/>
          <w:b w:val="0"/>
          <w:i w:val="0"/>
          <w:sz w:val="20"/>
          <w:highlight w:val="yellow"/>
        </w:rPr>
        <w:t>amarillo</w:t>
      </w:r>
      <w:r>
        <w:rPr>
          <w:rFonts w:ascii="Century Gothic" w:hAnsi="Century Gothic" w:cs="Century Gothic" w:eastAsia="Century Gothic"/>
          <w:b w:val="0"/>
          <w:i w:val="0"/>
          <w:sz w:val="20"/>
        </w:rPr>
        <w:t xml:space="preserve"> es un dato de la base documental que no pudo cotejarse con su fuente primaria. Los resaltados se quitan al incorporar el texto. Los cuadros se numeran a continuación del Cuadro 23 del punto 3.3.4.</w:t>
      </w:r>
    </w:p>
    <w:p>
      <w:r>
        <w:br w:type="page"/>
      </w:r>
    </w:p>
    <w:p>
      <w:pPr>
        <w:keepNext/>
        <w:spacing w:before="160" w:after="200" w:line="240" w:lineRule="auto"/>
        <w:jc w:val="left"/>
      </w:pPr>
      <w:r>
        <w:rPr>
          <w:rFonts w:ascii="Century Gothic" w:hAnsi="Century Gothic" w:cs="Century Gothic" w:eastAsia="Century Gothic"/>
          <w:b/>
          <w:i w:val="0"/>
          <w:sz w:val="24"/>
        </w:rPr>
        <w:t>Parte II. Texto propuesto para el punto 3.3</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3.3.5</w:t>
        <w:tab/>
      </w:r>
      <w:r>
        <w:rPr>
          <w:rFonts w:ascii="Century Gothic" w:hAnsi="Century Gothic" w:cs="Century Gothic" w:eastAsia="Century Gothic"/>
          <w:b/>
          <w:i w:val="0"/>
          <w:sz w:val="22"/>
        </w:rPr>
        <w:t>Metodología del estudio de mercado laboral</w:t>
      </w:r>
    </w:p>
    <w:p>
      <w:pPr>
        <w:spacing w:before="0" w:after="200" w:line="240" w:lineRule="auto"/>
        <w:jc w:val="both"/>
      </w:pPr>
      <w:r>
        <w:rPr>
          <w:rFonts w:ascii="Century Gothic" w:hAnsi="Century Gothic" w:cs="Century Gothic" w:eastAsia="Century Gothic"/>
          <w:b w:val="0"/>
          <w:i w:val="0"/>
          <w:sz w:val="20"/>
        </w:rPr>
        <w:t>El estudio de mercado laboral del Rediseño Curricular combina fuentes primarias, levantadas con titulados, estudiantes y docentes de la Carrera, con fuentes secundarias sobre empresas, economía y tendencias de la profesión. Ninguna fuente se usa de forma aislada: cada hallazgo que fundamenta una decisión curricular se contrasta con al menos otra fuente, según el Cuadro 29.</w:t>
      </w:r>
    </w:p>
    <w:p>
      <w:pPr>
        <w:keepNext/>
        <w:spacing w:before="40" w:after="80" w:line="240" w:lineRule="auto"/>
        <w:jc w:val="center"/>
      </w:pPr>
      <w:r>
        <w:rPr>
          <w:rFonts w:ascii="Century Gothic" w:hAnsi="Century Gothic" w:cs="Century Gothic" w:eastAsia="Century Gothic"/>
          <w:b/>
          <w:i w:val="0"/>
          <w:sz w:val="20"/>
        </w:rPr>
        <w:t>Cuadro 24. Fuentes del estudio de mercado laboral</w:t>
      </w:r>
    </w:p>
    <w:tbl>
      <w:tblPr>
        <w:tblW w:type="auto" w:w="0"/>
        <w:jc w:val="center"/>
        <w:tblLayout w:type="fixed"/>
        <w:tblLook w:firstColumn="1" w:firstRow="1" w:lastColumn="0" w:lastRow="0" w:noHBand="0" w:noVBand="1" w:val="04A0"/>
      </w:tblPr>
      <w:tblGrid>
        <w:gridCol w:w="2948"/>
        <w:gridCol w:w="2154"/>
        <w:gridCol w:w="1984"/>
        <w:gridCol w:w="1984"/>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Fuente</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Periodo</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Uso en el Rediseño</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estudio cuantitativo a titulados de la Facultad</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Primaria, encuesta a titulados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Octubre y noviembre de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3.1.3, 3.3.3 y 3.3.4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Encuesta de mercado laboral en Bolivia: Demanda 2022, del BID</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Secundaria, encuesta a empresas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Segundo semestre de 2022 a abril de 2023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3.3.2 y 3.3.4</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Diagnóstico FODA del IICCFA</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Primaria, consulta a estudiantes y docentes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Informe de diciembre de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3.3.1, 3.3.4, 4.1.2 y 4.3.1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Registros académicos: Sistema de Registro Universitario, Sistema de Seguimiento Académico, DSIE y Centro de Cómputo</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Registros administrativos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2021 a 2026</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2.7.2, 3.3.6, 8.6 y 11.1.1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FMI, Banco Mundial, INE y BCB</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Estadísticas económicas oficiales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2025 y 2026</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Base empresarial del SEPREC</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Registro oficial de empresas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Marzo de 2022 a noviembre de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3.3.6</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Foro Económico Mundial, AICPA y CIMA, Wolters Kluwer</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Estudios internacionales de tendencias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3.4.1 y 3.3.6</w:t>
            </w:r>
          </w:p>
        </w:tc>
      </w:tr>
    </w:tbl>
    <w:p>
      <w:pPr>
        <w:spacing w:before="40" w:after="200" w:line="240" w:lineRule="auto"/>
        <w:jc w:val="left"/>
      </w:pPr>
      <w:r>
        <w:rPr>
          <w:rFonts w:ascii="Century Gothic" w:hAnsi="Century Gothic" w:cs="Century Gothic" w:eastAsia="Century Gothic"/>
          <w:b w:val="0"/>
          <w:i w:val="0"/>
          <w:sz w:val="16"/>
        </w:rPr>
        <w:t>Fuente: elaboración propia con base en los puntos 3.1 a 3.4.</w:t>
      </w:r>
    </w:p>
    <w:p>
      <w:pPr>
        <w:keepNext/>
        <w:spacing w:before="40" w:after="200" w:line="240" w:lineRule="auto"/>
        <w:jc w:val="left"/>
      </w:pPr>
      <w:r>
        <w:rPr>
          <w:rFonts w:ascii="Century Gothic" w:hAnsi="Century Gothic" w:cs="Century Gothic" w:eastAsia="Century Gothic"/>
          <w:b/>
          <w:i w:val="0"/>
          <w:sz w:val="22"/>
        </w:rPr>
        <w:t>Ficha técnica del estudio de Ipsos CIESMORI</w:t>
      </w:r>
    </w:p>
    <w:p>
      <w:pPr>
        <w:keepNext/>
        <w:spacing w:before="40" w:after="80" w:line="240" w:lineRule="auto"/>
        <w:jc w:val="center"/>
      </w:pPr>
      <w:r>
        <w:rPr>
          <w:rFonts w:ascii="Century Gothic" w:hAnsi="Century Gothic" w:cs="Century Gothic" w:eastAsia="Century Gothic"/>
          <w:b/>
          <w:i w:val="0"/>
          <w:sz w:val="20"/>
        </w:rPr>
        <w:t>Cuadro 25. Ficha técnica del estudio de Ipsos CIESMORI (2025)</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Elemento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Descripción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Título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«Futuro laboral: análisis de la demanda del mercado laboral y reformulación curricular». Estudio cuantitativo, Facultad de Ciencias Económicas y Financieras.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Ejecutor y fecha del informe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diciembre de 2025.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Objetivo general</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Determinar y describir el mercado laboral actual, con datos sobre las competencias específicas y generales requeridas y las tendencias del empleo, e identificar la percepción de los egresados sobre el mercado laboral, las necesidades de formación y los ajustes para la innovación curricular.</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Tipo de estudio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Cuantitativo.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Técnicas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Encuestas cara a cara en puntos de intercepción ubicados en distintas zonas de cada ciudad.</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Encuestas telefónicas sobre la base de datos proporcionada por el cliente.</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Encuestas en línea autoaplicadas.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Universo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Profesionales graduados de la UMSA en los últimos 4 a 10 años, con al menos 2 a 5 años de experiencia laboral o actividad económica, en su área de estudio u otra, dispuestos a compartir sus experiencias sobre posibles mejoras en las mallas curriculares.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Ámbito geográfico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Área urbana de La Paz y El Alto, Cochabamba y Santa Cruz.</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Trabajo de campo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Del 28 de octubre al 20 de noviembre de 2025.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Muestra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376 encuestas en la Facultad: Contaduría Pública 160, Administración de Empresas 128 y Economía 88.</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Tipos de pregunta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Respuesta única y respuesta múltiple. Cada lámina indica la base de casos sobre la que se calculan los porcentajes.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Escalas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Escala de 1 a 10 agrupada en cinco niveles: 1 y 2, para nada necesaria; 3 y 4, poco necesaria; 5 y 6, ni necesaria ni innecesaria; 7 y 8, muy necesaria; 9 y 10, totalmente necesaria.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Margen de error</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declarado en el informe. El Cuadro 28 presenta un valor referencial.</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Uso en el Rediseño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Cuadros 10, 20 y 22 de los puntos 3.1.3, 3.3.3 y 3.3.4.</w:t>
            </w:r>
          </w:p>
        </w:tc>
      </w:tr>
    </w:tbl>
    <w:p>
      <w:pPr>
        <w:spacing w:before="40" w:after="200" w:line="240" w:lineRule="auto"/>
        <w:jc w:val="left"/>
      </w:pPr>
      <w:r>
        <w:rPr>
          <w:rFonts w:ascii="Century Gothic" w:hAnsi="Century Gothic" w:cs="Century Gothic" w:eastAsia="Century Gothic"/>
          <w:b w:val="0"/>
          <w:i w:val="0"/>
          <w:sz w:val="16"/>
        </w:rPr>
        <w:t>Fuente: Ipsos CIESMORI (2025), láminas 4 a 7.</w:t>
      </w:r>
    </w:p>
    <w:p>
      <w:pPr>
        <w:keepNext/>
        <w:spacing w:before="40" w:after="200" w:line="240" w:lineRule="auto"/>
        <w:jc w:val="left"/>
      </w:pPr>
      <w:r>
        <w:rPr>
          <w:rFonts w:ascii="Century Gothic" w:hAnsi="Century Gothic" w:cs="Century Gothic" w:eastAsia="Century Gothic"/>
          <w:b/>
          <w:i w:val="0"/>
          <w:sz w:val="22"/>
        </w:rPr>
        <w:t>Ficha técnica de la Encuesta de demanda laboral del BID</w:t>
      </w:r>
    </w:p>
    <w:p>
      <w:pPr>
        <w:keepNext/>
        <w:spacing w:before="40" w:after="80" w:line="240" w:lineRule="auto"/>
        <w:jc w:val="center"/>
      </w:pPr>
      <w:r>
        <w:rPr>
          <w:rFonts w:ascii="Century Gothic" w:hAnsi="Century Gothic" w:cs="Century Gothic" w:eastAsia="Century Gothic"/>
          <w:b/>
          <w:i w:val="0"/>
          <w:sz w:val="20"/>
        </w:rPr>
        <w:t>Cuadro 26. Ficha técnica de la Encuesta de mercado laboral en Bolivia: Demanda 2022</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Elemento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Descripción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Publicación</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 xml:space="preserve">Urquidi, M., Serrate, L., Sardán, S., Albarracín, S. y Chumacero, M. (2023). </w:t>
            </w:r>
            <w:r>
              <w:rPr>
                <w:rFonts w:ascii="Century Gothic" w:hAnsi="Century Gothic" w:cs="Century Gothic" w:eastAsia="Century Gothic"/>
                <w:b w:val="0"/>
                <w:i/>
                <w:sz w:val="18"/>
                <w:highlight w:val="green"/>
              </w:rPr>
              <w:t>Encuesta de mercado laboral en Bolivia: Demanda 2022</w:t>
            </w:r>
            <w:r>
              <w:rPr>
                <w:rFonts w:ascii="Century Gothic" w:hAnsi="Century Gothic" w:cs="Century Gothic" w:eastAsia="Century Gothic"/>
                <w:b w:val="0"/>
                <w:i w:val="0"/>
                <w:sz w:val="18"/>
                <w:highlight w:val="green"/>
              </w:rPr>
              <w:t>. Nota técnica IDB-TN-2795. Banco Interamericano de Desarrollo.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Ejecución del trabajo de campo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Centro de Generación de Información y Estadística (CEGIE) de la Universidad Privada Boliviana.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Periodo de levantamiento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Segundo semestre de 2022 y primeros cuatro meses de 2023.</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Cobertura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Áreas metropolitanas de La Paz, Cochabamba y Santa Cruz.</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Unidades de observación</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Empresas pequeñas, medianas y grandes.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Objetivo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Caracterizar a las empresas, describir su fuerza laboral, incluidas las dinámicas de contratación y despido, y conocer los requisitos de habilidades y formación.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Tamaño de la muestra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yellow"/>
              </w:rPr>
              <w:t>1.931 empresas, según el Diagnóstico de la Carrera 2026.</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Datos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Base de datos agregada publicada por el BID con licencia CC BY 4.0.</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Uso en el Rediseño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Cuadro 19 del punto 3.3.2 y Cuadro 23 del punto 3.3.4.</w:t>
            </w:r>
          </w:p>
        </w:tc>
      </w:tr>
    </w:tbl>
    <w:p>
      <w:pPr>
        <w:spacing w:before="40" w:after="200" w:line="240" w:lineRule="auto"/>
        <w:jc w:val="left"/>
      </w:pPr>
      <w:r>
        <w:rPr>
          <w:rFonts w:ascii="Century Gothic" w:hAnsi="Century Gothic" w:cs="Century Gothic" w:eastAsia="Century Gothic"/>
          <w:b w:val="0"/>
          <w:i w:val="0"/>
          <w:sz w:val="16"/>
        </w:rPr>
        <w:t>Fuente: Banco Interamericano de Desarrollo, ficha del conjunto de datos y nota técnica IDB-TN-2795; Diagnóstico de la Carrera 2026.</w:t>
      </w:r>
    </w:p>
    <w:p>
      <w:pPr>
        <w:keepNext/>
        <w:spacing w:before="40" w:after="200" w:line="240" w:lineRule="auto"/>
        <w:jc w:val="left"/>
      </w:pPr>
      <w:r>
        <w:rPr>
          <w:rFonts w:ascii="Century Gothic" w:hAnsi="Century Gothic" w:cs="Century Gothic" w:eastAsia="Century Gothic"/>
          <w:b/>
          <w:i w:val="0"/>
          <w:sz w:val="22"/>
        </w:rPr>
        <w:t>Ficha técnica del diagnóstico FODA del Instituto de Investigaciones</w:t>
      </w:r>
    </w:p>
    <w:p>
      <w:pPr>
        <w:keepNext/>
        <w:spacing w:before="40" w:after="80" w:line="240" w:lineRule="auto"/>
        <w:jc w:val="center"/>
      </w:pPr>
      <w:r>
        <w:rPr>
          <w:rFonts w:ascii="Century Gothic" w:hAnsi="Century Gothic" w:cs="Century Gothic" w:eastAsia="Century Gothic"/>
          <w:b/>
          <w:i w:val="0"/>
          <w:sz w:val="20"/>
        </w:rPr>
        <w:t>Cuadro 27. Ficha técnica del diagnóstico FODA del IICCFA (2025)</w:t>
      </w:r>
    </w:p>
    <w:tbl>
      <w:tblPr>
        <w:tblW w:type="auto" w:w="0"/>
        <w:jc w:val="center"/>
        <w:tblLayout w:type="fixed"/>
        <w:tblLook w:firstColumn="1" w:firstRow="1" w:lastColumn="0" w:lastRow="0" w:noHBand="0" w:noVBand="1" w:val="04A0"/>
      </w:tblPr>
      <w:tblGrid>
        <w:gridCol w:w="2268"/>
        <w:gridCol w:w="6803"/>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Elemento</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Descripción</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Responsable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Instituto de Investigaciones de Ciencias Contables, Financieras y Auditoría de la Carrera.</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Fecha del informe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Diciembre de 2025.</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Técnica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Consulta de percepción organizada según la matriz de fortalezas, oportunidades, debilidades y amenazas, con resultados expresados en porcentaje de participantes.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Participantes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278 estudiantes y 59 docentes.</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Población de referencia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3.143 estudiantes inscritos en la gestión 2025 en la sede de La Paz (Cuadro 1 del punto 11.1.1) y 183 docentes (Cuadro 4 del punto 2.7.1).</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Uso en el Rediseño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Puntos 3.3.1, 3.3.4, 4.1.2 y 4.3.1.</w:t>
            </w:r>
          </w:p>
        </w:tc>
      </w:tr>
    </w:tbl>
    <w:p>
      <w:pPr>
        <w:spacing w:before="40" w:after="200" w:line="240" w:lineRule="auto"/>
        <w:jc w:val="left"/>
      </w:pPr>
      <w:r>
        <w:rPr>
          <w:rFonts w:ascii="Century Gothic" w:hAnsi="Century Gothic" w:cs="Century Gothic" w:eastAsia="Century Gothic"/>
          <w:b w:val="0"/>
          <w:i w:val="0"/>
          <w:sz w:val="16"/>
        </w:rPr>
        <w:t>Fuente: Diagnóstico de la Carrera 2026, con base en el informe del IICCFA de diciembre de 2025.</w:t>
      </w:r>
    </w:p>
    <w:p>
      <w:pPr>
        <w:keepNext/>
        <w:spacing w:before="40" w:after="200" w:line="240" w:lineRule="auto"/>
        <w:jc w:val="left"/>
      </w:pPr>
      <w:r>
        <w:rPr>
          <w:rFonts w:ascii="Century Gothic" w:hAnsi="Century Gothic" w:cs="Century Gothic" w:eastAsia="Century Gothic"/>
          <w:b/>
          <w:i w:val="0"/>
          <w:sz w:val="22"/>
        </w:rPr>
        <w:t>Tratamiento de los datos</w:t>
      </w:r>
    </w:p>
    <w:p>
      <w:pPr>
        <w:numPr>
          <w:ilvl w:val="0"/>
          <w:numId w:val="901"/>
        </w:numPr>
        <w:spacing w:before="0" w:after="160" w:line="240" w:lineRule="auto"/>
        <w:jc w:val="both"/>
      </w:pPr>
      <w:r>
        <w:rPr>
          <w:rFonts w:ascii="Century Gothic" w:hAnsi="Century Gothic" w:cs="Century Gothic" w:eastAsia="Century Gothic"/>
          <w:b/>
          <w:i w:val="0"/>
          <w:sz w:val="20"/>
        </w:rPr>
        <w:t>Agrupación de escalas.</w:t>
      </w:r>
      <w:r>
        <w:rPr>
          <w:rFonts w:ascii="Century Gothic" w:hAnsi="Century Gothic" w:cs="Century Gothic" w:eastAsia="Century Gothic"/>
          <w:b w:val="0"/>
          <w:i w:val="0"/>
          <w:sz w:val="20"/>
        </w:rPr>
        <w:t xml:space="preserve"> En el estudio de Ipsos CIESMORI, una competencia se considera «necesaria» cuando recibe las calificaciones de 7 a 10, es decir, muy y totalmente necesaria, y «aplicada con frecuencia» cuando se aplicó todo el tiempo o buena parte del tiempo durante la formación.</w:t>
      </w:r>
    </w:p>
    <w:p>
      <w:pPr>
        <w:numPr>
          <w:ilvl w:val="0"/>
          <w:numId w:val="901"/>
        </w:numPr>
        <w:spacing w:before="0" w:after="160" w:line="240" w:lineRule="auto"/>
        <w:jc w:val="both"/>
      </w:pPr>
      <w:r>
        <w:rPr>
          <w:rFonts w:ascii="Century Gothic" w:hAnsi="Century Gothic" w:cs="Century Gothic" w:eastAsia="Century Gothic"/>
          <w:b/>
          <w:i w:val="0"/>
          <w:sz w:val="20"/>
        </w:rPr>
        <w:t>Cálculo de brechas.</w:t>
      </w:r>
      <w:r>
        <w:rPr>
          <w:rFonts w:ascii="Century Gothic" w:hAnsi="Century Gothic" w:cs="Century Gothic" w:eastAsia="Century Gothic"/>
          <w:b w:val="0"/>
          <w:i w:val="0"/>
          <w:sz w:val="20"/>
        </w:rPr>
        <w:t xml:space="preserve"> La brecha de una competencia es la diferencia, en puntos porcentuales, entre el porcentaje que la considera necesaria y el porcentaje que la aplicó con frecuencia en su formación (Cuadro 22).</w:t>
      </w:r>
    </w:p>
    <w:p>
      <w:pPr>
        <w:numPr>
          <w:ilvl w:val="0"/>
          <w:numId w:val="901"/>
        </w:numPr>
        <w:spacing w:before="0" w:after="160" w:line="240" w:lineRule="auto"/>
        <w:jc w:val="both"/>
      </w:pPr>
      <w:r>
        <w:rPr>
          <w:rFonts w:ascii="Century Gothic" w:hAnsi="Century Gothic" w:cs="Century Gothic" w:eastAsia="Century Gothic"/>
          <w:b/>
          <w:i w:val="0"/>
          <w:sz w:val="20"/>
        </w:rPr>
        <w:t>Bases de cálculo.</w:t>
      </w:r>
      <w:r>
        <w:rPr>
          <w:rFonts w:ascii="Century Gothic" w:hAnsi="Century Gothic" w:cs="Century Gothic" w:eastAsia="Century Gothic"/>
          <w:b w:val="0"/>
          <w:i w:val="0"/>
          <w:sz w:val="20"/>
        </w:rPr>
        <w:t xml:space="preserve"> Los porcentajes se calculan sobre la base de casos de cada pregunta, que el informe indica en cada lámina; en las preguntas de respuesta múltiple la suma supera el 100 %.</w:t>
      </w:r>
    </w:p>
    <w:p>
      <w:pPr>
        <w:numPr>
          <w:ilvl w:val="0"/>
          <w:numId w:val="901"/>
        </w:numPr>
        <w:spacing w:before="0" w:after="200" w:line="240" w:lineRule="auto"/>
        <w:jc w:val="both"/>
      </w:pPr>
      <w:r>
        <w:rPr>
          <w:rFonts w:ascii="Century Gothic" w:hAnsi="Century Gothic" w:cs="Century Gothic" w:eastAsia="Century Gothic"/>
          <w:b/>
          <w:i w:val="0"/>
          <w:sz w:val="20"/>
        </w:rPr>
        <w:t>Contraste de fuentes.</w:t>
      </w:r>
      <w:r>
        <w:rPr>
          <w:rFonts w:ascii="Century Gothic" w:hAnsi="Century Gothic" w:cs="Century Gothic" w:eastAsia="Century Gothic"/>
          <w:b w:val="0"/>
          <w:i w:val="0"/>
          <w:sz w:val="20"/>
        </w:rPr>
        <w:t xml:space="preserve"> Cada hallazgo se contrasta con al menos otra fuente independiente antes de traducirse en una decisión curricular (Cuadro 29).</w:t>
      </w:r>
    </w:p>
    <w:p>
      <w:pPr>
        <w:keepNext/>
        <w:spacing w:before="40" w:after="200" w:line="240" w:lineRule="auto"/>
        <w:jc w:val="left"/>
      </w:pPr>
      <w:r>
        <w:rPr>
          <w:rFonts w:ascii="Century Gothic" w:hAnsi="Century Gothic" w:cs="Century Gothic" w:eastAsia="Century Gothic"/>
          <w:b/>
          <w:i w:val="0"/>
          <w:sz w:val="22"/>
        </w:rPr>
        <w:t>Precisión de las muestras</w:t>
      </w:r>
    </w:p>
    <w:p>
      <w:pPr>
        <w:spacing w:before="0" w:after="200" w:line="240" w:lineRule="auto"/>
        <w:jc w:val="both"/>
      </w:pPr>
      <w:r>
        <w:rPr>
          <w:rFonts w:ascii="Century Gothic" w:hAnsi="Century Gothic" w:cs="Century Gothic" w:eastAsia="Century Gothic"/>
          <w:b w:val="0"/>
          <w:i w:val="0"/>
          <w:sz w:val="20"/>
        </w:rPr>
        <w:t>Los informes de Ipsos CIESMORI y del IICCFA no declaran un margen de error. Como referencia de precisión, el Cuadro 28 calcula el error que tendría una muestra aleatoria simple del mismo tamaño, con un nivel de confianza del 95 % y la máxima variabilidad (p = 0,5), mediante la fórmula e = 1,96 · √(p(1 − p)/n) · √((N − n)/(N − 1)). Cuando el informe no cuantifica la población (N), se omite el segundo factor.</w:t>
      </w:r>
    </w:p>
    <w:p>
      <w:pPr>
        <w:keepNext/>
        <w:spacing w:before="40" w:after="80" w:line="240" w:lineRule="auto"/>
        <w:jc w:val="center"/>
      </w:pPr>
      <w:r>
        <w:rPr>
          <w:rFonts w:ascii="Century Gothic" w:hAnsi="Century Gothic" w:cs="Century Gothic" w:eastAsia="Century Gothic"/>
          <w:b/>
          <w:i w:val="0"/>
          <w:sz w:val="20"/>
        </w:rPr>
        <w:t>Cuadro 28. Error muestral referencial de las consultas</w:t>
      </w:r>
    </w:p>
    <w:tbl>
      <w:tblPr>
        <w:tblW w:type="auto" w:w="0"/>
        <w:jc w:val="center"/>
        <w:tblLayout w:type="fixed"/>
        <w:tblLook w:firstColumn="1" w:firstRow="1" w:lastColumn="0" w:lastRow="0" w:noHBand="0" w:noVBand="1" w:val="04A0"/>
      </w:tblPr>
      <w:tblGrid>
        <w:gridCol w:w="3118"/>
        <w:gridCol w:w="1417"/>
        <w:gridCol w:w="2551"/>
        <w:gridCol w:w="1984"/>
      </w:tblGrid>
      <w:tr>
        <w:trPr>
          <w:tblHeader/>
        </w:trPr>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Consulta</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Muestra (n)</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Población de referencia (N)</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Error referencial al 95 %</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Contaduría Pública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160</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cuantificada en el informe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 7,7 puntos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Facultad</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376</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No cuantificada en el informe</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 5,1 puntos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FODA del IICCFA, estudiantes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278</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3.143 inscritos en 2025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 5,6 puntos</w:t>
            </w:r>
          </w:p>
        </w:tc>
      </w:tr>
      <w:tr>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FODA del IICCFA, docentes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59</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183 docentes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 10,5 puntos</w:t>
            </w:r>
          </w:p>
        </w:tc>
      </w:tr>
    </w:tbl>
    <w:p>
      <w:pPr>
        <w:spacing w:before="40" w:after="200" w:line="240" w:lineRule="auto"/>
        <w:jc w:val="left"/>
      </w:pPr>
      <w:r>
        <w:rPr>
          <w:rFonts w:ascii="Century Gothic" w:hAnsi="Century Gothic" w:cs="Century Gothic" w:eastAsia="Century Gothic"/>
          <w:b w:val="0"/>
          <w:i w:val="0"/>
          <w:sz w:val="16"/>
        </w:rPr>
        <w:t>Fuente: elaboración propia con base en los Cuadros 25 y 27.</w:t>
      </w:r>
    </w:p>
    <w:p>
      <w:pPr>
        <w:spacing w:before="0" w:after="200" w:line="240" w:lineRule="auto"/>
        <w:jc w:val="both"/>
      </w:pPr>
      <w:r>
        <w:rPr>
          <w:rFonts w:ascii="Century Gothic" w:hAnsi="Century Gothic" w:cs="Century Gothic" w:eastAsia="Century Gothic"/>
          <w:b w:val="0"/>
          <w:i w:val="0"/>
          <w:sz w:val="20"/>
        </w:rPr>
        <w:t>Las técnicas de Ipsos CIESMORI, que combinan intercepción, base de datos y encuesta en línea, no corresponden a un muestreo aleatorio. Por ello estos valores indican el orden de precisión de los resultados y no un margen de error en sentido estricto.</w:t>
      </w:r>
    </w:p>
    <w:p>
      <w:pPr>
        <w:keepNext/>
        <w:spacing w:before="40" w:after="200" w:line="240" w:lineRule="auto"/>
        <w:jc w:val="left"/>
      </w:pPr>
      <w:r>
        <w:rPr>
          <w:rFonts w:ascii="Century Gothic" w:hAnsi="Century Gothic" w:cs="Century Gothic" w:eastAsia="Century Gothic"/>
          <w:b/>
          <w:i w:val="0"/>
          <w:sz w:val="22"/>
        </w:rPr>
        <w:t>Triangulación de hallazgos</w:t>
      </w:r>
    </w:p>
    <w:p>
      <w:pPr>
        <w:keepNext/>
        <w:spacing w:before="40" w:after="80" w:line="240" w:lineRule="auto"/>
        <w:jc w:val="center"/>
      </w:pPr>
      <w:r>
        <w:rPr>
          <w:rFonts w:ascii="Century Gothic" w:hAnsi="Century Gothic" w:cs="Century Gothic" w:eastAsia="Century Gothic"/>
          <w:b/>
          <w:i w:val="0"/>
          <w:sz w:val="20"/>
        </w:rPr>
        <w:t>Cuadro 29. Matriz de triangulación de los hallazgos del mercado laboral</w:t>
      </w:r>
    </w:p>
    <w:tbl>
      <w:tblPr>
        <w:tblW w:type="auto" w:w="0"/>
        <w:jc w:val="center"/>
        <w:tblLayout w:type="fixed"/>
        <w:tblLook w:firstColumn="1" w:firstRow="1" w:lastColumn="0" w:lastRow="0" w:noHBand="0" w:noVBand="1" w:val="04A0"/>
      </w:tblPr>
      <w:tblGrid>
        <w:gridCol w:w="2154"/>
        <w:gridCol w:w="4649"/>
        <w:gridCol w:w="2268"/>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Hallazgo</w:t>
            </w:r>
          </w:p>
        </w:tc>
        <w:tc>
          <w:tcPr>
            <w:tcW w:type="dxa" w:w="464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Evidencia por fuente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Decisión curricular</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Brecha en competencias tecnológicas</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Ipsos: las habilidades tecnológicas emergentes son necesarias para el 87 % y se aplicaron con frecuencia en la formación para el 36 %.</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BID: el 97 % de las empresas opera con internet.</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FODA: el 89 % de los estudiantes y el 83 % de los docentes ve como amenaza la demanda de habilidades tecnológicas e idiomas.</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WEF (2025): inteligencia artificial y big data es la competencia de mayor crecimiento.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Eje tecnológico transversal con laboratorio (3.3.4 y 4.4.1)</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Falta de experiencia práctica</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BID: es la segunda barrera de contratación, con el 25 %, y solo el 30 % de las empresas de ciudades grandes tiene programas de pasantías.</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FODA: el 88 % de los estudiantes respalda pasantías obligatorias desde tercer año.</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Ipsos: en la Facultad, una proporción mayoritaria de egresados reporta oportunidades insuficientes de aplicación práctica del conocimiento.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preprofesionales y proyectos con organizaciones reales (4.8)</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Déficit en habilidades de conducción</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BID: la falta de habilidades blandas es la principal barrera de contratación, con el 26 %.</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Ipsos: brechas de 39 puntos en liderazgo, 40 en empatía y 37 en resolución de conflictos.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Transversalidad de comunicación, liderazgo y ética (3.1.3 y 4.4.1)</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Saturación del perfil tradicional y techo jerárquico</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Ipsos: el 46 % percibe el mercado saturado y el 50 % lo prevé saturado en cinco años; el 77 % de los dependientes trabaja en nivel técnico operativo y el 87 % gana hasta Bs 5.000.</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INE: informalidad laboral del 84,2 %.</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WEF (2025): los puestos de contabilidad, teneduría, nómina y auditoría están entre los de mayor declive proyectado.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Liderazgo, gestión, consultoría y servicios de mayor valor; preparación para el ejercicio independiente (3.3.4)</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Presión económica sobre la permanencia y la titulación</w:t>
            </w:r>
          </w:p>
        </w:tc>
        <w:tc>
          <w:tcPr>
            <w:tcW w:type="dxa" w:w="4649"/>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FODA: el 85 % de los estudiantes reconoce que la coyuntura presiona para abandonar o retrasar la carrera.</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Registros: 1.589 estudiantes trabajan de forma remunerada y 396 tienen de siete a nueve años de permanencia.</w:t>
            </w:r>
          </w:p>
          <w:p>
            <w:pPr>
              <w:tabs>
                <w:tab w:pos="255" w:val="left"/>
              </w:tabs>
              <w:spacing w:before="0" w:after="0" w:line="240" w:lineRule="auto"/>
              <w:ind w:left="255" w:hanging="255"/>
              <w:jc w:val="both"/>
            </w:pPr>
            <w:r>
              <w:rPr>
                <w:rFonts w:ascii="Century Gothic" w:hAnsi="Century Gothic" w:cs="Century Gothic" w:eastAsia="Century Gothic"/>
                <w:sz w:val="18"/>
              </w:rPr>
              <w:t>▪</w:t>
              <w:tab/>
            </w:r>
            <w:r>
              <w:rPr>
                <w:rFonts w:ascii="Century Gothic" w:hAnsi="Century Gothic" w:cs="Century Gothic" w:eastAsia="Century Gothic"/>
                <w:b w:val="0"/>
                <w:i w:val="0"/>
                <w:sz w:val="18"/>
              </w:rPr>
              <w:t>Ipsos: el 21 % de los egresados aún no tiene título.</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Modalidades de graduación integradas al último año (5.4) y organización compatible con el estudiante que trabaja</w:t>
            </w:r>
          </w:p>
        </w:tc>
      </w:tr>
    </w:tbl>
    <w:p>
      <w:pPr>
        <w:spacing w:before="40" w:after="200" w:line="240" w:lineRule="auto"/>
        <w:jc w:val="left"/>
      </w:pPr>
      <w:r>
        <w:rPr>
          <w:rFonts w:ascii="Century Gothic" w:hAnsi="Century Gothic" w:cs="Century Gothic" w:eastAsia="Century Gothic"/>
          <w:b w:val="0"/>
          <w:i w:val="0"/>
          <w:sz w:val="16"/>
        </w:rPr>
        <w:t>Fuente: elaboración propia con base en los Cuadros 18 a 24 y el Diagnóstico de la Carrera 2026.</w:t>
      </w:r>
    </w:p>
    <w:p>
      <w:pPr>
        <w:keepNext/>
        <w:spacing w:before="40" w:after="200" w:line="240" w:lineRule="auto"/>
        <w:jc w:val="left"/>
      </w:pPr>
      <w:r>
        <w:rPr>
          <w:rFonts w:ascii="Century Gothic" w:hAnsi="Century Gothic" w:cs="Century Gothic" w:eastAsia="Century Gothic"/>
          <w:b/>
          <w:i w:val="0"/>
          <w:sz w:val="22"/>
        </w:rPr>
        <w:t>Limitaciones del estudio</w:t>
      </w:r>
    </w:p>
    <w:p>
      <w:pPr>
        <w:numPr>
          <w:ilvl w:val="0"/>
          <w:numId w:val="902"/>
        </w:numPr>
        <w:spacing w:before="0" w:after="160" w:line="240" w:lineRule="auto"/>
        <w:jc w:val="both"/>
      </w:pPr>
      <w:r>
        <w:rPr>
          <w:rFonts w:ascii="Century Gothic" w:hAnsi="Century Gothic" w:cs="Century Gothic" w:eastAsia="Century Gothic"/>
          <w:b w:val="0"/>
          <w:i w:val="0"/>
          <w:sz w:val="20"/>
        </w:rPr>
        <w:t>El estudio de Ipsos CIESMORI no usa un muestreo aleatorio y se limita a titulados de 4 a 10 años de egreso residentes en el área urbana de tres ciudades; no recoge la situación de los titulados recientes ni la de quienes residen en otras ciudades o en el área rural.</w:t>
      </w:r>
    </w:p>
    <w:p>
      <w:pPr>
        <w:numPr>
          <w:ilvl w:val="0"/>
          <w:numId w:val="902"/>
        </w:numPr>
        <w:spacing w:before="0" w:after="160" w:line="240" w:lineRule="auto"/>
        <w:jc w:val="both"/>
      </w:pPr>
      <w:r>
        <w:rPr>
          <w:rFonts w:ascii="Century Gothic" w:hAnsi="Century Gothic" w:cs="Century Gothic" w:eastAsia="Century Gothic"/>
          <w:b w:val="0"/>
          <w:i w:val="0"/>
          <w:sz w:val="20"/>
        </w:rPr>
        <w:t>La Encuesta del BID cubre empresas de todas las ramas y no desagrega la demanda de contadores públicos; se usa para caracterizar las exigencias generales de los empleadores.</w:t>
      </w:r>
    </w:p>
    <w:p>
      <w:pPr>
        <w:numPr>
          <w:ilvl w:val="0"/>
          <w:numId w:val="902"/>
        </w:numPr>
        <w:spacing w:before="0" w:after="160" w:line="240" w:lineRule="auto"/>
        <w:jc w:val="both"/>
      </w:pPr>
      <w:r>
        <w:rPr>
          <w:rFonts w:ascii="Century Gothic" w:hAnsi="Century Gothic" w:cs="Century Gothic" w:eastAsia="Century Gothic"/>
          <w:b w:val="0"/>
          <w:i w:val="0"/>
          <w:sz w:val="20"/>
        </w:rPr>
        <w:t>El diagnóstico FODA recoge percepciones de la comunidad académica y no mide el desempeño laboral.</w:t>
      </w:r>
    </w:p>
    <w:p>
      <w:pPr>
        <w:numPr>
          <w:ilvl w:val="0"/>
          <w:numId w:val="902"/>
        </w:numPr>
        <w:spacing w:before="0" w:after="160" w:line="240" w:lineRule="auto"/>
        <w:jc w:val="both"/>
      </w:pPr>
      <w:r>
        <w:rPr>
          <w:rFonts w:ascii="Century Gothic" w:hAnsi="Century Gothic" w:cs="Century Gothic" w:eastAsia="Century Gothic"/>
          <w:b w:val="0"/>
          <w:i w:val="0"/>
          <w:sz w:val="20"/>
        </w:rPr>
        <w:t>El informe cuantitativo de Ipsos CIESMORI menciona una fase cualitativa con empleadores, expertos en talento humano y expertos en educación, cuyo informe no forma parte de la base documental de la Comisión Académica.</w:t>
      </w:r>
    </w:p>
    <w:p>
      <w:pPr>
        <w:numPr>
          <w:ilvl w:val="0"/>
          <w:numId w:val="902"/>
        </w:numPr>
        <w:spacing w:before="0" w:after="200" w:line="240" w:lineRule="auto"/>
        <w:jc w:val="both"/>
      </w:pPr>
      <w:r>
        <w:rPr>
          <w:rFonts w:ascii="Century Gothic" w:hAnsi="Century Gothic" w:cs="Century Gothic" w:eastAsia="Century Gothic"/>
          <w:b w:val="0"/>
          <w:i w:val="0"/>
          <w:sz w:val="20"/>
        </w:rPr>
        <w:t>Para compensar estas limitaciones, los hallazgos se triangulan (Cuadro 29) y el punto 12.2 incorpora la consulta periódica a empleadores y el seguimiento a titulados con ficha técnica y error declarados.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3.3.6</w:t>
        <w:tab/>
      </w:r>
      <w:r>
        <w:rPr>
          <w:rFonts w:ascii="Century Gothic" w:hAnsi="Century Gothic" w:cs="Century Gothic" w:eastAsia="Century Gothic"/>
          <w:b/>
          <w:i w:val="0"/>
          <w:sz w:val="22"/>
        </w:rPr>
        <w:t>Proyecciones de demanda</w:t>
      </w:r>
    </w:p>
    <w:p>
      <w:pPr>
        <w:spacing w:before="0" w:after="200" w:line="240" w:lineRule="auto"/>
        <w:jc w:val="both"/>
      </w:pPr>
      <w:r>
        <w:rPr>
          <w:rFonts w:ascii="Century Gothic" w:hAnsi="Century Gothic" w:cs="Century Gothic" w:eastAsia="Century Gothic"/>
          <w:b w:val="0"/>
          <w:i w:val="0"/>
          <w:sz w:val="20"/>
        </w:rPr>
        <w:t>Las proyecciones estiman, para el periodo de implementación 2027 a 2031, la demanda académica, que determina los paralelos, la bibliografía y la infraestructura requeridos conforme al Artículo 12 de la Resolución HCU N.º 032/2025, y la tendencia de la demanda laboral a la que responde el perfil profesional.</w:t>
      </w:r>
    </w:p>
    <w:p>
      <w:pPr>
        <w:keepNext/>
        <w:spacing w:before="40" w:after="200" w:line="240" w:lineRule="auto"/>
        <w:jc w:val="left"/>
      </w:pPr>
      <w:r>
        <w:rPr>
          <w:rFonts w:ascii="Century Gothic" w:hAnsi="Century Gothic" w:cs="Century Gothic" w:eastAsia="Century Gothic"/>
          <w:b/>
          <w:i w:val="0"/>
          <w:sz w:val="22"/>
        </w:rPr>
        <w:t>Demanda académica</w:t>
      </w:r>
    </w:p>
    <w:p>
      <w:pPr>
        <w:spacing w:before="0" w:after="200" w:line="240" w:lineRule="auto"/>
        <w:jc w:val="both"/>
      </w:pPr>
      <w:r>
        <w:rPr>
          <w:rFonts w:ascii="Century Gothic" w:hAnsi="Century Gothic" w:cs="Century Gothic" w:eastAsia="Century Gothic"/>
          <w:b w:val="0"/>
          <w:i w:val="0"/>
          <w:sz w:val="20"/>
        </w:rPr>
        <w:t>Se aplican dos métodos sobre la serie de 2021 a 2026 del Cuadro 1 del punto 11.1.1: la tendencia lineal por mínimos cuadrados y la tasa de crecimiento anual compuesta entre 2021 y 2026, que es de -1,80 % para los matriculados y de -0,23 % para los inscritos. El resultado de ambos métodos define el rango de la proyección.</w:t>
      </w:r>
    </w:p>
    <w:p>
      <w:pPr>
        <w:keepNext/>
        <w:spacing w:before="40" w:after="80" w:line="240" w:lineRule="auto"/>
        <w:jc w:val="center"/>
      </w:pPr>
      <w:r>
        <w:rPr>
          <w:rFonts w:ascii="Century Gothic" w:hAnsi="Century Gothic" w:cs="Century Gothic" w:eastAsia="Century Gothic"/>
          <w:b/>
          <w:i w:val="0"/>
          <w:sz w:val="20"/>
        </w:rPr>
        <w:t>Cuadro 30. Proyección de estudiantes matriculados e inscritos, 2027–2031</w:t>
      </w:r>
    </w:p>
    <w:tbl>
      <w:tblPr>
        <w:tblW w:type="auto" w:w="0"/>
        <w:jc w:val="center"/>
        <w:tblLayout w:type="fixed"/>
        <w:tblLook w:firstColumn="1" w:firstRow="1" w:lastColumn="0" w:lastRow="0" w:noHBand="0" w:noVBand="1" w:val="04A0"/>
      </w:tblPr>
      <w:tblGrid>
        <w:gridCol w:w="2608"/>
        <w:gridCol w:w="1077"/>
        <w:gridCol w:w="1077"/>
        <w:gridCol w:w="1077"/>
        <w:gridCol w:w="1077"/>
        <w:gridCol w:w="1077"/>
        <w:gridCol w:w="1077"/>
      </w:tblGrid>
      <w:tr>
        <w:trPr>
          <w:tblHeader/>
        </w:trPr>
        <w:tc>
          <w:tcPr>
            <w:tcW w:type="dxa" w:w="26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Estudiantes y método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2026 (dato)</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2027</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2028</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2029</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2030</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2031</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Matriculados, tendencia lineal</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4.296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4.149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4.065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3.982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3.899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3.815</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Matriculados, tasa anual compuesta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4.296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4.219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4.143</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4.068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3.995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3.923</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Inscritos, tendencia lineal</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3.125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3.112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3.098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3.085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3.071</w:t>
            </w:r>
          </w:p>
        </w:tc>
      </w:tr>
      <w:tr>
        <w:tc>
          <w:tcPr>
            <w:tcW w:type="dxa" w:w="26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Inscritos, tasa anual compuesta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3.116</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3.102</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3.095</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3.087</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3.080</w:t>
            </w:r>
          </w:p>
        </w:tc>
      </w:tr>
    </w:tbl>
    <w:p>
      <w:pPr>
        <w:spacing w:before="40" w:after="200" w:line="240" w:lineRule="auto"/>
        <w:jc w:val="left"/>
      </w:pPr>
      <w:r>
        <w:rPr>
          <w:rFonts w:ascii="Century Gothic" w:hAnsi="Century Gothic" w:cs="Century Gothic" w:eastAsia="Century Gothic"/>
          <w:b w:val="0"/>
          <w:i w:val="0"/>
          <w:sz w:val="16"/>
        </w:rPr>
        <w:t>Fuente: elaboración propia con base en el Sistema de Registro Universitario y el Sistema de Seguimiento Académico, Diagnóstico 2026. Corresponde a la sede de La Paz.</w:t>
      </w:r>
    </w:p>
    <w:p>
      <w:pPr>
        <w:spacing w:before="0" w:after="200" w:line="240" w:lineRule="auto"/>
        <w:jc w:val="both"/>
      </w:pPr>
      <w:r>
        <w:rPr>
          <w:rFonts w:ascii="Century Gothic" w:hAnsi="Century Gothic" w:cs="Century Gothic" w:eastAsia="Century Gothic"/>
          <w:b w:val="0"/>
          <w:i w:val="0"/>
          <w:sz w:val="20"/>
        </w:rPr>
        <w:t>Los matriculados continúan su descenso, pero los inscritos, que son quienes cursan asignaturas y generan la demanda de paralelos, aulas y bibliografía, se mantienen prácticamente estables, entre 3.071 y 3.125 estudiantes. A estas cifras se suman los estudiantes de las sedes desconcentradas, que en 2025 fueron 104 (punto 2.7.2).</w:t>
      </w:r>
    </w:p>
    <w:p>
      <w:pPr>
        <w:spacing w:before="0" w:after="200" w:line="240" w:lineRule="auto"/>
        <w:jc w:val="both"/>
      </w:pPr>
      <w:r>
        <w:rPr>
          <w:rFonts w:ascii="Century Gothic" w:hAnsi="Century Gothic" w:cs="Century Gothic" w:eastAsia="Century Gothic"/>
          <w:b w:val="0"/>
          <w:i w:val="0"/>
          <w:sz w:val="20"/>
        </w:rPr>
        <w:t>Para estimar los paralelos se proyectan las inscripciones por asignatura. La relación entre inscripciones por asignatura e inscritos fue de 7,04 en 2023, 7,48 en 2024, 7,63 en 2025 y 7,74 en 2026 (Cuadro 1 y Cuadro 2 del punto 11.1.1). La proyección mantiene la relación de 2026 y aplica los límites del punto 8.6.</w:t>
      </w:r>
    </w:p>
    <w:p>
      <w:pPr>
        <w:keepNext/>
        <w:spacing w:before="40" w:after="80" w:line="240" w:lineRule="auto"/>
        <w:jc w:val="center"/>
      </w:pPr>
      <w:r>
        <w:rPr>
          <w:rFonts w:ascii="Century Gothic" w:hAnsi="Century Gothic" w:cs="Century Gothic" w:eastAsia="Century Gothic"/>
          <w:b/>
          <w:i w:val="0"/>
          <w:sz w:val="20"/>
        </w:rPr>
        <w:t>Cuadro 31. Proyección de inscripciones por asignatura y paralelos requeridos, 2027–2031</w:t>
      </w:r>
    </w:p>
    <w:tbl>
      <w:tblPr>
        <w:tblW w:type="auto" w:w="0"/>
        <w:jc w:val="center"/>
        <w:tblLayout w:type="fixed"/>
        <w:tblLook w:firstColumn="1" w:firstRow="1" w:lastColumn="0" w:lastRow="0" w:noHBand="0" w:noVBand="1" w:val="04A0"/>
      </w:tblPr>
      <w:tblGrid>
        <w:gridCol w:w="907"/>
        <w:gridCol w:w="2041"/>
        <w:gridCol w:w="2154"/>
        <w:gridCol w:w="1984"/>
        <w:gridCol w:w="1984"/>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Inscritos proyectados</w:t>
            </w:r>
          </w:p>
        </w:tc>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Inscripciones por asignatura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Paralelos con máximo de 80</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Paralelos con meta de 60</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3.109 a 3.125</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24.062 a 24.190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301 a 303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402 a 404</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3.102 a 3.112</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24.006 a 24.084</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301 a 302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401 a 402</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3.095 a 3.098</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23.951 a 23.979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300 a 300</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400 a 400</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2030</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3.085 a 3.087</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23.874 a 23.896</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299 a 299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398 a 399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3.071 a 3.080</w:t>
            </w:r>
          </w:p>
        </w:tc>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23.769 a 23.842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298 a 299</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397 a 398</w:t>
            </w:r>
          </w:p>
        </w:tc>
      </w:tr>
    </w:tbl>
    <w:p>
      <w:pPr>
        <w:spacing w:before="40" w:after="200" w:line="240" w:lineRule="auto"/>
        <w:jc w:val="left"/>
      </w:pPr>
      <w:r>
        <w:rPr>
          <w:rFonts w:ascii="Century Gothic" w:hAnsi="Century Gothic" w:cs="Century Gothic" w:eastAsia="Century Gothic"/>
          <w:b w:val="0"/>
          <w:i w:val="0"/>
          <w:sz w:val="16"/>
        </w:rPr>
        <w:t>Fuente: elaboración propia con base en el Cuadro 30, el Cuadro 2 del punto 11.1.1 y el Cuadro 7 del punto 8.6.</w:t>
      </w:r>
    </w:p>
    <w:p>
      <w:pPr>
        <w:spacing w:before="0" w:after="200" w:line="240" w:lineRule="auto"/>
        <w:jc w:val="both"/>
      </w:pPr>
      <w:r>
        <w:rPr>
          <w:rFonts w:ascii="Century Gothic" w:hAnsi="Century Gothic" w:cs="Century Gothic" w:eastAsia="Century Gothic"/>
          <w:b w:val="0"/>
          <w:i w:val="0"/>
          <w:sz w:val="20"/>
        </w:rPr>
        <w:t>La necesidad se mantiene entre 298 y 303 paralelos con el máximo de 80 estudiantes, lo que confirma los 302 paralelos y los 75 paralelos adicionales a los 227 de 2026 previstos en los puntos 11.1.1 y 11.2.3. La necesidad de recursos del Rediseño Curricular proviene de reducir el número de estudiantes por paralelo y no de un crecimiento de la matrícula. Si la relación de inscripciones por inscrito aumentara en media asignatura, las inscripciones crecerían en unas 1.550 y los paralelos en unos 20, por lo que la relación se revisa cada año conforme al punto 12.1.5.</w:t>
      </w:r>
    </w:p>
    <w:p>
      <w:pPr>
        <w:spacing w:before="0" w:after="200" w:line="240" w:lineRule="auto"/>
        <w:jc w:val="both"/>
      </w:pPr>
      <w:r>
        <w:rPr>
          <w:rFonts w:ascii="Century Gothic" w:hAnsi="Century Gothic" w:cs="Century Gothic" w:eastAsia="Century Gothic"/>
          <w:b w:val="0"/>
          <w:i w:val="0"/>
          <w:sz w:val="20"/>
        </w:rPr>
        <w:t>Para el primer año, los nuevos inscritos fueron 498 en 2023, 448 en 2024 y 471 en 2025, con un promedio de 472 estudiantes, según la DSIE citada en el Diagnóstico de la Carrera 2026. Con el máximo de 80 estudiantes, cada asignatura de primer año requiere seis paralelos.</w:t>
      </w:r>
    </w:p>
    <w:p>
      <w:pPr>
        <w:spacing w:before="0" w:after="200" w:line="240" w:lineRule="auto"/>
        <w:jc w:val="both"/>
      </w:pPr>
      <w:r>
        <w:rPr>
          <w:rFonts w:ascii="Century Gothic" w:hAnsi="Century Gothic" w:cs="Century Gothic" w:eastAsia="Century Gothic"/>
          <w:b w:val="0"/>
          <w:i w:val="0"/>
          <w:sz w:val="20"/>
        </w:rPr>
        <w:t>En cuanto a los titulados, la Carrera tituló entre 274 y 523 estudiantes por año entre 2021 y 2025, con un promedio de 379 (Cuadro 10 del punto 2.7.2). Esta cifra es la referencia de la oferta anual de nuevos profesionales al mercado laboral.</w:t>
      </w:r>
    </w:p>
    <w:p>
      <w:pPr>
        <w:keepNext/>
        <w:spacing w:before="40" w:after="200" w:line="240" w:lineRule="auto"/>
        <w:jc w:val="left"/>
      </w:pPr>
      <w:r>
        <w:rPr>
          <w:rFonts w:ascii="Century Gothic" w:hAnsi="Century Gothic" w:cs="Century Gothic" w:eastAsia="Century Gothic"/>
          <w:b/>
          <w:i w:val="0"/>
          <w:sz w:val="22"/>
        </w:rPr>
        <w:t>Demanda laboral</w:t>
      </w:r>
    </w:p>
    <w:p>
      <w:pPr>
        <w:spacing w:before="0" w:after="200" w:line="240" w:lineRule="auto"/>
        <w:jc w:val="both"/>
      </w:pPr>
      <w:r>
        <w:rPr>
          <w:rFonts w:ascii="Century Gothic" w:hAnsi="Century Gothic" w:cs="Century Gothic" w:eastAsia="Century Gothic"/>
          <w:b w:val="0"/>
          <w:i w:val="0"/>
          <w:sz w:val="20"/>
        </w:rPr>
        <w:t>No existe en Bolivia una proyección oficial de la demanda de contadores públicos. Por ello, la demanda laboral se estima a partir de la base empresarial registrada, que es el conjunto de unidades económicas que requieren servicios contables, y se describe su tendencia con las fuentes del Cuadro 24.</w:t>
      </w:r>
    </w:p>
    <w:p>
      <w:pPr>
        <w:keepNext/>
        <w:spacing w:before="40" w:after="80" w:line="240" w:lineRule="auto"/>
        <w:jc w:val="center"/>
      </w:pPr>
      <w:r>
        <w:rPr>
          <w:rFonts w:ascii="Century Gothic" w:hAnsi="Century Gothic" w:cs="Century Gothic" w:eastAsia="Century Gothic"/>
          <w:b/>
          <w:i w:val="0"/>
          <w:sz w:val="20"/>
        </w:rPr>
        <w:t>Cuadro 32. Base empresarial registrada en el SEPREC</w:t>
      </w:r>
    </w:p>
    <w:tbl>
      <w:tblPr>
        <w:tblW w:type="auto" w:w="0"/>
        <w:jc w:val="center"/>
        <w:tblLayout w:type="fixed"/>
        <w:tblLook w:firstColumn="1" w:firstRow="1" w:lastColumn="0" w:lastRow="0" w:noHBand="0" w:noVBand="1" w:val="04A0"/>
      </w:tblPr>
      <w:tblGrid>
        <w:gridCol w:w="5102"/>
        <w:gridCol w:w="3969"/>
      </w:tblGrid>
      <w:tr>
        <w:trPr>
          <w:tblHeader/>
        </w:trPr>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Indicador</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Unidades económicas al 31 de marzo de 2022</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355.335</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Unidades económicas al 30 de noviembre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398.131</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Crecimiento en el periodo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12,0 %, equivalente a 3,15 % anual</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 Paz</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122.956 unidades, el 30,9 %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Santa Cruz</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119.179 unidades, el 29,9 %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Cochabamba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66.170 unidades, el 16,6 %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Empresas unipersonales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308.651 unidades, el 77,5 %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Sociedades de responsabilidad limitada</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84.208 unidades, el 21,1 %</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Nuevas inscripciones de enero a noviembre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14.752</w:t>
            </w:r>
          </w:p>
        </w:tc>
      </w:tr>
      <w:tr>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Unidades con matrícula de comercio renovada a noviembre de 2025</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highlight w:val="green"/>
              </w:rPr>
              <w:t>79.632</w:t>
            </w:r>
          </w:p>
        </w:tc>
      </w:tr>
    </w:tbl>
    <w:p>
      <w:pPr>
        <w:spacing w:before="40" w:after="200" w:line="240" w:lineRule="auto"/>
        <w:jc w:val="left"/>
      </w:pPr>
      <w:r>
        <w:rPr>
          <w:rFonts w:ascii="Century Gothic" w:hAnsi="Century Gothic" w:cs="Century Gothic" w:eastAsia="Century Gothic"/>
          <w:b w:val="0"/>
          <w:i w:val="0"/>
          <w:sz w:val="16"/>
        </w:rPr>
        <w:t>Fuente: Servicio Plurinacional de Registro de Comercio (SEPREC), Información estadística, noviembre de 2025.</w:t>
      </w:r>
    </w:p>
    <w:p>
      <w:pPr>
        <w:spacing w:before="0" w:after="200" w:line="240" w:lineRule="auto"/>
        <w:jc w:val="both"/>
      </w:pPr>
      <w:r>
        <w:rPr>
          <w:rFonts w:ascii="Century Gothic" w:hAnsi="Century Gothic" w:cs="Century Gothic" w:eastAsia="Century Gothic"/>
          <w:b w:val="0"/>
          <w:i w:val="0"/>
          <w:sz w:val="20"/>
        </w:rPr>
        <w:t>Si la base empresarial mantuviera el ritmo de 3,15 % anual, alcanzaría alrededor de 425.000 unidades económicas en 2027 y de 481.000 en 2031. Es una extrapolación referencial del ritmo observado y no una previsión del SEPREC. La Paz concentra casi un tercio de la base, y su composición, con predominio de empresas unipersonales, confirma la importancia del ejercicio independiente y del servicio a la pequeña empresa señalados en el Cuadro 21.</w:t>
      </w:r>
    </w:p>
    <w:p>
      <w:pPr>
        <w:spacing w:before="0" w:after="200" w:line="240" w:lineRule="auto"/>
        <w:jc w:val="both"/>
      </w:pPr>
      <w:r>
        <w:rPr>
          <w:rFonts w:ascii="Century Gothic" w:hAnsi="Century Gothic" w:cs="Century Gothic" w:eastAsia="Century Gothic"/>
          <w:b w:val="0"/>
          <w:i w:val="0"/>
          <w:sz w:val="20"/>
        </w:rPr>
        <w:t>La composición de esa demanda cambia. El Foro Económico Mundial (2025) sitúa los puestos de contabilidad, teneduría, nómina y auditoría entre los de mayor declive proyectado hacia 2030, mientras la inteligencia artificial y el big data encabezan las competencias de mayor crecimiento (Cuadro 33). En el ámbito local, la mitad de los egresados de Contaduría Pública encuestados por Ipsos CIESMORI prevé un mercado saturado en los próximos cinco años, y el 77 % de quienes trabajan como dependientes lo hace en nivel técnico operativo (Cuadro 20).</w:t>
      </w:r>
    </w:p>
    <w:p>
      <w:pPr>
        <w:spacing w:before="0" w:after="200" w:line="240" w:lineRule="auto"/>
        <w:jc w:val="both"/>
      </w:pPr>
      <w:r>
        <w:rPr>
          <w:rFonts w:ascii="Century Gothic" w:hAnsi="Century Gothic" w:cs="Century Gothic" w:eastAsia="Century Gothic"/>
          <w:b w:val="0"/>
          <w:i w:val="0"/>
          <w:sz w:val="20"/>
        </w:rPr>
        <w:t>En síntesis, la base de unidades económicas que requieren servicios contables crece de forma moderada, pero la demanda se desplaza del registro y el procesamiento de transacciones hacia el control, el aseguramiento, la tributación, la información de sostenibilidad y el análisis de datos. La oferta anual de unos 379 titulados enfrenta un segmento tradicional percibido como saturado, por lo que el Rediseño Curricular orienta la formación a las áreas en crecimiento identificadas en los puntos 3.3.3, 3.3.4 y 3.4.</w:t>
      </w:r>
    </w:p>
    <w:p>
      <w:pPr>
        <w:keepNext/>
        <w:spacing w:before="40" w:after="200" w:line="240" w:lineRule="auto"/>
        <w:jc w:val="left"/>
      </w:pPr>
      <w:r>
        <w:rPr>
          <w:rFonts w:ascii="Century Gothic" w:hAnsi="Century Gothic" w:cs="Century Gothic" w:eastAsia="Century Gothic"/>
          <w:b/>
          <w:i w:val="0"/>
          <w:sz w:val="22"/>
        </w:rPr>
        <w:t>Actualización de las proyecciones</w:t>
      </w:r>
    </w:p>
    <w:p>
      <w:pPr>
        <w:spacing w:before="0" w:after="200" w:line="240" w:lineRule="auto"/>
        <w:jc w:val="both"/>
      </w:pPr>
      <w:r>
        <w:rPr>
          <w:rFonts w:ascii="Century Gothic" w:hAnsi="Century Gothic" w:cs="Century Gothic" w:eastAsia="Century Gothic"/>
          <w:b w:val="0"/>
          <w:i w:val="0"/>
          <w:sz w:val="20"/>
        </w:rPr>
        <w:t>Las proyecciones se actualizan al inicio de cada gestión con los datos de la DSIE, del Centro de Cómputo y del SEPREC, conforme al punto 12.1.5, y se contrastan con los resultados del seguimiento a titulados y de la consulta a empleadores del punto 12.2.</w:t>
      </w:r>
    </w:p>
    <w:p>
      <w:r>
        <w:br w:type="page"/>
      </w:r>
    </w:p>
    <w:p>
      <w:pPr>
        <w:keepNext/>
        <w:spacing w:before="160" w:after="200" w:line="240" w:lineRule="auto"/>
        <w:jc w:val="left"/>
      </w:pPr>
      <w:r>
        <w:rPr>
          <w:rFonts w:ascii="Century Gothic" w:hAnsi="Century Gothic" w:cs="Century Gothic" w:eastAsia="Century Gothic"/>
          <w:b/>
          <w:i w:val="0"/>
          <w:sz w:val="24"/>
        </w:rPr>
        <w:t>Parte III. Ajustes de concordancia en otros puntos</w:t>
      </w:r>
    </w:p>
    <w:p>
      <w:pPr>
        <w:keepNext/>
        <w:spacing w:before="40" w:after="80" w:line="240" w:lineRule="auto"/>
        <w:jc w:val="center"/>
      </w:pPr>
      <w:r>
        <w:rPr>
          <w:rFonts w:ascii="Century Gothic" w:hAnsi="Century Gothic" w:cs="Century Gothic" w:eastAsia="Century Gothic"/>
          <w:b/>
          <w:i w:val="0"/>
          <w:sz w:val="20"/>
        </w:rPr>
        <w:t>Cuadro C. Ajustes de concordancia</w:t>
      </w:r>
    </w:p>
    <w:tbl>
      <w:tblPr>
        <w:tblW w:type="auto" w:w="0"/>
        <w:jc w:val="center"/>
        <w:tblLayout w:type="fixed"/>
        <w:tblLook w:firstColumn="1" w:firstRow="1" w:lastColumn="0" w:lastRow="0" w:noHBand="0" w:noVBand="1" w:val="04A0"/>
      </w:tblPr>
      <w:tblGrid>
        <w:gridCol w:w="1928"/>
        <w:gridCol w:w="3458"/>
        <w:gridCol w:w="3685"/>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345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actual</w:t>
            </w:r>
          </w:p>
        </w:tc>
        <w:tc>
          <w:tcPr>
            <w:tcW w:type="dxa" w:w="368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propuesto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3.1.3, Cuadro 10, columna Fundamento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Estudio de mercado laboral de Ipsos CIESMORI (2025) y encuesta propia de la Carrera</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Estudio de mercado laboral de Ipsos CIESMORI (2025) y diagnóstico FODA del IICCFA (2025)</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3.2.1, Cuadro 12, fila Pertinencia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2025, encuesta BID 2022, FODA del Instituto de Investigaciones 2025 y normativa nacional e internacional</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Ipsos CIESMORI 2025, encuesta BID 2022, FODA del Instituto de Investigaciones 2025 y normativa nacional e internacional, con sus fichas técnicas en el punto 3.3.5</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3.3.2, primer párrafo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 Encuesta de demanda laboral del BID, aplicada en 2022 a 1.931 empresas de La Paz, Cochabamba y Santa Cruz, muestra que…</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 Encuesta de demanda laboral del BID, levantada entre el segundo semestre de 2022 y abril de 2023 en las áreas metropolitanas de La Paz, Cochabamba y Santa Cruz, cuya ficha técnica se presenta en el Cuadro 26, muestra que…</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3.4 y 3.5</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Cuadros 24 a 33</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Cuadros 33 a 42, por la incorporación de los Cuadros 24 a 32. Se actualiza el índice de cuadros.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9.1.2, párrafo sobre la demanda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 relación con la demanda, las 24.117 inscripciones por asignatura de 2026 frente a 3.108 ejemplares asignados representan alrededor de un ejemplar por cada ocho inscripciones, lo que obliga a complementar el acervo físico con recursos digitales.</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 al final: «Según la proyección del punto 3.3.6, las inscripciones se mantendrán en torno a 24.000 por año hasta 2031, por lo que esta relación no mejorará sin la ampliación del acervo y de los recursos digitales.»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11.1.1, párrafo final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El promedio de 104 a 109 estudiantes por paralelo supera… una meta posterior de 60 estudiantes requeriría 402.</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 al final: «La proyección 2027–2031 del punto 3.3.6 mantiene esta necesidad entre 298 y 303 paralelos con el máximo de 80 estudiantes.»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12.1.5</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conforma una Comisión Académica paritaria Docente-Estudiantil…</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 un párrafo: «Al inicio de cada gestión, la Dirección de Carrera actualiza las proyecciones del punto 3.3.6 con los datos de la DSIE, del Centro de Cómputo y del SEPREC, y ajusta la programación de paralelos.»</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12.2, procedimiento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Lista de cuatro acciones de seguimiento a titulados</w:t>
            </w:r>
          </w:p>
        </w:tc>
        <w:tc>
          <w:tcPr>
            <w:tcW w:type="dxa" w:w="368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 la acción: «Consultar a los empleadores de las áreas laborales del Cuadro 21 al menos una vez por gestión sobre el desempeño de los titulados y las competencias requeridas, con una ficha técnica como la del punto 3.3.5.»</w:t>
            </w:r>
          </w:p>
        </w:tc>
      </w:tr>
    </w:tbl>
    <w:p>
      <w:pPr>
        <w:spacing w:before="40" w:after="200" w:line="240" w:lineRule="auto"/>
        <w:jc w:val="left"/>
      </w:pPr>
      <w:r>
        <w:rPr>
          <w:rFonts w:ascii="Century Gothic" w:hAnsi="Century Gothic" w:cs="Century Gothic" w:eastAsia="Century Gothic"/>
          <w:b w:val="0"/>
          <w:i w:val="0"/>
          <w:sz w:val="16"/>
        </w:rPr>
        <w:t>Fuente: elaboración propia.</w:t>
      </w:r>
    </w:p>
    <w:p>
      <w:pPr>
        <w:spacing w:before="0" w:after="200" w:line="240" w:lineRule="auto"/>
        <w:jc w:val="both"/>
      </w:pPr>
      <w:r>
        <w:rPr>
          <w:rFonts w:ascii="Century Gothic" w:hAnsi="Century Gothic" w:cs="Century Gothic" w:eastAsia="Century Gothic"/>
          <w:b w:val="0"/>
          <w:i w:val="0"/>
          <w:sz w:val="20"/>
        </w:rPr>
        <w:t>Si la «encuesta propia de la Carrera» del Cuadro 10 corresponde a una consulta distinta del diagnóstico FODA, se mantiene la denominación y se agrega su ficha técnica a continuación del Cuadro 27, con los mismos elementos.</w:t>
      </w:r>
    </w:p>
    <w:p>
      <w:pPr>
        <w:keepNext/>
        <w:spacing w:before="160" w:after="200" w:line="240" w:lineRule="auto"/>
        <w:jc w:val="left"/>
      </w:pPr>
      <w:r>
        <w:rPr>
          <w:rFonts w:ascii="Century Gothic" w:hAnsi="Century Gothic" w:cs="Century Gothic" w:eastAsia="Century Gothic"/>
          <w:b/>
          <w:i w:val="0"/>
          <w:sz w:val="24"/>
        </w:rPr>
        <w:t>Parte IV. Datos pendientes de cotejo</w:t>
      </w:r>
    </w:p>
    <w:p>
      <w:pPr>
        <w:numPr>
          <w:ilvl w:val="0"/>
          <w:numId w:val="903"/>
        </w:numPr>
        <w:spacing w:before="0" w:after="160" w:line="240" w:lineRule="auto"/>
        <w:jc w:val="both"/>
      </w:pPr>
      <w:r>
        <w:rPr>
          <w:rFonts w:ascii="Century Gothic" w:hAnsi="Century Gothic" w:cs="Century Gothic" w:eastAsia="Century Gothic"/>
          <w:b/>
          <w:i w:val="0"/>
          <w:sz w:val="20"/>
        </w:rPr>
        <w:t>Tamaño de la muestra de la Encuesta del BID.</w:t>
      </w:r>
      <w:r>
        <w:rPr>
          <w:rFonts w:ascii="Century Gothic" w:hAnsi="Century Gothic" w:cs="Century Gothic" w:eastAsia="Century Gothic"/>
          <w:b w:val="0"/>
          <w:i w:val="0"/>
          <w:sz w:val="20"/>
        </w:rPr>
        <w:t xml:space="preserve"> La cifra de 1.931 empresas proviene del Diagnóstico de la Carrera 2026 y no pudo cotejarse con la nota técnica IDB-TN-2795. Antes de la impresión conviene verificarla en la sección metodológica de esa publicación; si no coincide, se corrige en los puntos 3.3.2 y 3.3.5.</w:t>
      </w:r>
    </w:p>
    <w:p>
      <w:pPr>
        <w:numPr>
          <w:ilvl w:val="0"/>
          <w:numId w:val="903"/>
        </w:numPr>
        <w:spacing w:before="0" w:after="160" w:line="240" w:lineRule="auto"/>
        <w:jc w:val="both"/>
      </w:pPr>
      <w:r>
        <w:rPr>
          <w:rFonts w:ascii="Century Gothic" w:hAnsi="Century Gothic" w:cs="Century Gothic" w:eastAsia="Century Gothic"/>
          <w:b/>
          <w:i w:val="0"/>
          <w:sz w:val="20"/>
        </w:rPr>
        <w:t>Datos del BID y del SEPREC resaltados en verde.</w:t>
      </w:r>
      <w:r>
        <w:rPr>
          <w:rFonts w:ascii="Century Gothic" w:hAnsi="Century Gothic" w:cs="Century Gothic" w:eastAsia="Century Gothic"/>
          <w:b w:val="0"/>
          <w:i w:val="0"/>
          <w:sz w:val="20"/>
        </w:rPr>
        <w:t xml:space="preserve"> Provienen de la ficha del conjunto de datos del BID y del boletín estadístico del SEPREC de noviembre de 2025, consultados en línea. Conviene descargarlos y conservarlos como respaldo documental.</w:t>
      </w:r>
    </w:p>
    <w:p>
      <w:pPr>
        <w:numPr>
          <w:ilvl w:val="0"/>
          <w:numId w:val="903"/>
        </w:numPr>
        <w:spacing w:before="0" w:after="200" w:line="240" w:lineRule="auto"/>
        <w:jc w:val="both"/>
      </w:pPr>
      <w:r>
        <w:rPr>
          <w:rFonts w:ascii="Century Gothic" w:hAnsi="Century Gothic" w:cs="Century Gothic" w:eastAsia="Century Gothic"/>
          <w:b/>
          <w:i w:val="0"/>
          <w:sz w:val="20"/>
        </w:rPr>
        <w:t>Instrumento y fechas de aplicación del diagnóstico FODA.</w:t>
      </w:r>
      <w:r>
        <w:rPr>
          <w:rFonts w:ascii="Century Gothic" w:hAnsi="Century Gothic" w:cs="Century Gothic" w:eastAsia="Century Gothic"/>
          <w:b w:val="0"/>
          <w:i w:val="0"/>
          <w:sz w:val="20"/>
        </w:rPr>
        <w:t xml:space="preserve"> No constan en la base documental de la Comisión. Si el IICCFA los proporciona, se agregan al Cuadro 27.</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