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ADM-301 Desarrollo Organizacional y Comportamiento Organizacional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ADM-301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Desarrollo Organizacional y Comportamiento Organizacional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Administración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7 créditos y 210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ADM-301.docx (convertido desde el PDF entregado)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ADM-301 Desarrollo Organizacional y Comportamiento Organizacional.docx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No se encontraron errores imperdonables en el texto.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210 horas de trabajo, que equivalen a 7 créditos de 30 horas. La diferencia entre el total y las horas presenciales se repartió entre HAA, HTG, HIP y HE en proporción a lo que había registrado el itinerario, y en partes iguales porque esas casillas estaban en blanco.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 (antes: Times New Roman, Times New Roman,Bold, Times New Roman,BoldItalic, Times New Roman,Italic).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itinerario llegó en PDF y se convirtió a Word. Se retiraron los números de página que quedaron en el texto (18), se unieron los renglones que el PDF había cortado y se separaron los contenidos que habían quedado pegados en un mismo párrafo. Conviene revisar que no se haya perdido ningún salto de párrafo.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18 de los 21 controles, cumple en parte 2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condiciones de calidad explícitas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E4: 3 criterios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de 5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frase «presentándolas en factores para la toma de decisiones» no tiene sentido claro y no corresponde a los criterios, que hablan de tableros de seguimiento.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Redactar, por ejemplo: «…evaluando sus riesgos y presentándolas en tableros de indicadores para su seguimiento».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2, evidencias 2.1 y 2.2 / Productos 3 y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pide evaluar con indicadores de rotación, desempeño y costo laboral, pero la evidencia 2.2 y la rúbrica del Producto 4 omiten el indicador de desempeño; además, 2.1 solo «describe» los procesos.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el desempeño en 2.2 y en la rúbrica 4, y en 2.1 pedir una valoración de los procesos.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 / Producto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de cambio organizacional incluye la implementación de la estrategia (Producto 12), que continúa la formulación estratégica de E2 (Producto 8) y se superpone con el tablero de E4 (Producto 16).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Concentrar la implementación estratégica en un solo elemento o diferenciar con claridad los tableros de los Productos 12 y 16.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complementaria, Kotler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«Fundamentos de Marketing» es obra de Kotler y Armstrong; la referencia omite al coautor.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«Kotler, P. y Armstrong, G. (año). Fundamentos de Marketing. Pearson» con la edición vigente.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«Gobierno corporativo, RSE y criterios ESG… (C, A)» es descriptivo y ninguna evidencia ni rúbrica de E2 observa esa conducta.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 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«Sesgos cognitivos, heurísticas y trampas psicológicas… (C, A)» es un contenido cognitivo y procedimental (identificar y mitigar); la marca (A) no tiene sustento.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E3, E4, E5 y E6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mayoría de los conocimientos circunstanciales se dictan en otras asignaturas: enfoque de sistemas, sistema de planificación, fines y objetivos de la organización, control integrado, sistema de información y empresa como sistema (ADM-201, que incluso se cita como «Articulación con ADM-201»); proceso administrativo, toma de decisiones y delegación de autoridad (ADM-101).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y E1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técnicas de investigación (entrevista, grupo focal y observación) se dictan en CPA-204. El aporte de la escuela de relaciones humanas se dicta en ADM-101 (Tema 3).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«Experiencia con chatbot de acuerdo al modelo de negocios» es una actividad, no un conocimiento.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E5 y E6 frente al nombre de la asignatura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Toma de decisiones gerenciales, marketing, modelo y plan de negocios e IA ocupan la mitad de los elementos y exceden el «Desarrollo Organizacional y Comportamiento Organizacional».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contenidos 10 a 13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estudio de mercado, el plan técnico y operativo, la inversión inicial y las fuentes de financiamiento se repiten con ECO-301 Preparación y Evaluación de Proyectos.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y E4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formulación estratégica (PESTEL, misión, visión, objetivos) repite ADM-101 (Producto 5) y ADM-201 (Producto 9). Los árboles de decisión, los tableros y el CMI repiten ADM-201 (E2 y E3).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Nombres de productos: evidencias frente a rúbricas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Varios productos cambian de nombre entre la tabla de evidencias y la rúbrica: Producto 2 («…con el estilo de liderazgo aplicado…» / «…de liderazgo y negociación»), 9 («Informe del clima… con el procesamiento…» / «Informe de medición del clima…»), 12 («…con indicadores» / «…con su tablero de indicadores»), 18 («Informe de comparación…» / «Informe comparativo…») y 20 («Lienzo modelo de negocio Canvas…» / «Lienzo del modelo de negocio…»).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 el itinerario mejor construido del grupo: la estructura está completa, las rúbricas son propias de cada producto, los pesos son enteros y hay contenidos actitudinales y tecnológicos con sustento. Sus problemas son de alcance: la mitad de los elementos sale del nombre de la asignatura y se repite con ADM-201, ADM-101 y ECO-301, y los conocimientos circunstanciales casi siempre son temas que ya se dictan en otras asignaturas.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