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Informe de Correcciones y Observaciones</w:t>
      </w:r>
    </w:p>
    <w:p>
      <w:pPr>
        <w:spacing w:before="0" w:after="360" w:line="240" w:lineRule="auto"/>
        <w:jc w:val="center"/>
      </w:pPr>
      <w:r>
        <w:rPr>
          <w:rFonts w:ascii="Century Gothic" w:hAnsi="Century Gothic" w:cs="Century Gothic" w:eastAsia="Century Gothic"/>
          <w:b/>
          <w:i w:val="0"/>
          <w:sz w:val="28"/>
        </w:rPr>
        <w:t>CPA-101 Contabilidad Básica</w:t>
      </w:r>
    </w:p>
    <w:p>
      <w:pPr>
        <w:spacing w:before="0" w:after="240" w:line="240" w:lineRule="auto"/>
        <w:jc w:val="center"/>
      </w:pPr>
      <w:r>
        <w:rPr>
          <w:rFonts w:ascii="Century Gothic" w:hAnsi="Century Gothic" w:cs="Century Gothic" w:eastAsia="Century Gothic"/>
          <w:b w:val="0"/>
          <w:i/>
          <w:sz w:val="20"/>
        </w:rPr>
        <w:t>Punto 4.5 Planes de asignatura, Rediseño Curricular</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1.</w:t>
        <w:tab/>
      </w:r>
      <w:r>
        <w:rPr>
          <w:rFonts w:ascii="Century Gothic" w:hAnsi="Century Gothic" w:cs="Century Gothic" w:eastAsia="Century Gothic"/>
          <w:b/>
          <w:i w:val="0"/>
          <w:sz w:val="24"/>
        </w:rPr>
        <w:t>Datos de la asignatura</w:t>
      </w:r>
    </w:p>
    <w:tbl>
      <w:tblPr>
        <w:tblW w:type="auto" w:w="0"/>
        <w:jc w:val="center"/>
        <w:tblLayout w:type="fixed"/>
        <w:tblLook w:firstColumn="1" w:firstRow="1" w:lastColumn="0" w:lastRow="0" w:noHBand="0" w:noVBand="1" w:val="04A0"/>
      </w:tblPr>
      <w:tblGrid>
        <w:gridCol w:w="2835"/>
        <w:gridCol w:w="6236"/>
      </w:tblGrid>
      <w:tr>
        <w:trPr>
          <w:tblHeader/>
        </w:trPr>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Dato</w:t>
            </w:r>
          </w:p>
        </w:tc>
        <w:tc>
          <w:tcPr>
            <w:tcW w:type="dxa" w:w="623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Detalle</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Sigla</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CPA-101</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Asignatura según la malla</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Contabilidad Básica</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Área del itinerario</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Información Financiera</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Año</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 año</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Carga horaria y créditos de la malla</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 h/semana, 160 horas presenciales al año, 9 créditos y 270 horas de trabajo</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Archivo recibido</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CPA-101.docx</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Archivo corregido y formateado</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4.5 Itinerarios formateados y corregidos / CPA-101 Contabilidad Básica.docx</w:t>
            </w:r>
          </w:p>
        </w:tc>
      </w:tr>
    </w:tbl>
    <w:p>
      <w:pPr>
        <w:spacing w:before="0" w:after="120" w:line="240" w:lineRule="auto"/>
        <w:jc w:val="left"/>
      </w:pP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2.</w:t>
        <w:tab/>
      </w:r>
      <w:r>
        <w:rPr>
          <w:rFonts w:ascii="Century Gothic" w:hAnsi="Century Gothic" w:cs="Century Gothic" w:eastAsia="Century Gothic"/>
          <w:b/>
          <w:i w:val="0"/>
          <w:sz w:val="24"/>
        </w:rPr>
        <w:t>Correcciones aplicadas</w:t>
      </w:r>
    </w:p>
    <w:p>
      <w:pPr>
        <w:spacing w:before="0" w:after="200" w:line="240" w:lineRule="auto"/>
        <w:jc w:val="both"/>
      </w:pPr>
      <w:r>
        <w:rPr>
          <w:rFonts w:ascii="Century Gothic" w:hAnsi="Century Gothic" w:cs="Century Gothic" w:eastAsia="Century Gothic"/>
          <w:b w:val="0"/>
          <w:i w:val="0"/>
          <w:sz w:val="20"/>
        </w:rPr>
        <w:t>Se corrigieron directamente, sin control de cambios, solo los errores imperdonables: ortografía, palabras repetidas o de más, espacios y puntuación, notas de trabajo y textos sobrantes. El resto del contenido se mantiene tal como lo redactaron los docentes.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2.1</w:t>
        <w:tab/>
      </w:r>
      <w:r>
        <w:rPr>
          <w:rFonts w:ascii="Century Gothic" w:hAnsi="Century Gothic" w:cs="Century Gothic" w:eastAsia="Century Gothic"/>
          <w:b/>
          <w:i w:val="0"/>
          <w:sz w:val="24"/>
        </w:rPr>
        <w:t>Errores corregidos</w:t>
      </w:r>
    </w:p>
    <w:tbl>
      <w:tblPr>
        <w:tblW w:type="auto" w:w="0"/>
        <w:jc w:val="center"/>
        <w:tblLayout w:type="fixed"/>
        <w:tblLook w:firstColumn="1" w:firstRow="1" w:lastColumn="0" w:lastRow="0" w:noHBand="0" w:noVBand="1" w:val="04A0"/>
      </w:tblPr>
      <w:tblGrid>
        <w:gridCol w:w="1814"/>
        <w:gridCol w:w="3402"/>
        <w:gridCol w:w="3402"/>
        <w:gridCol w:w="737"/>
      </w:tblGrid>
      <w:tr>
        <w:trPr>
          <w:tblHeader/>
        </w:trPr>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73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Marcas y espacios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 P)</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Marcas y espacios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 P, A)</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Marcas y espacios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Producto13</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Producto 13</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Marcas y espacios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 práctico. (C,P</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 práctico. (C, P)</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Marcas y espacios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tico. C,P)</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tico. (C, P)</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integra confiable</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íntegra, confiable</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clasificadas en transacciones, permutativas, modificativas y mixta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clasificadas en transacciones permutativas, modificativas y mixtas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código, titulo, concepto, movimiento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código, título, concepto, movimiento</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Detecta en equipo, errores de registro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Detecta en equipo errores de registro</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tanto por naturaleza de las cuentas y por tiempo de realización</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tanto por la naturaleza de las cuentas como por el tiempo de realización</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y Estados de Resultados por función de gastos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y Estado de Resultados por función de gastos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1.Ejecuta el cierre del sistema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 Ejecuta el cierre del sistema</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empresa comercial y Efectúa la reapertura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empresa comercial y efectúa la reapertura</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Espacios dobles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«Elemento de competencia 5:  Prepara estados financ…»</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Se corrigió</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2.2</w:t>
        <w:tab/>
      </w:r>
      <w:r>
        <w:rPr>
          <w:rFonts w:ascii="Century Gothic" w:hAnsi="Century Gothic" w:cs="Century Gothic" w:eastAsia="Century Gothic"/>
          <w:b/>
          <w:i w:val="0"/>
          <w:sz w:val="24"/>
        </w:rPr>
        <w:t>Carga horaria y créditos</w:t>
      </w:r>
    </w:p>
    <w:p>
      <w:pPr>
        <w:spacing w:before="0" w:after="200" w:line="240" w:lineRule="auto"/>
        <w:jc w:val="both"/>
      </w:pPr>
      <w:r>
        <w:rPr>
          <w:rFonts w:ascii="Century Gothic" w:hAnsi="Century Gothic" w:cs="Century Gothic" w:eastAsia="Century Gothic"/>
          <w:b w:val="0"/>
          <w:i w:val="0"/>
          <w:sz w:val="20"/>
        </w:rPr>
        <w:t>Se registraron las horas y los créditos de la malla curricular con créditos: 160 horas presenciales (HP) y un total de 270 horas de trabajo, que equivalen a 9 créditos de 30 horas. La diferencia entre el total y las horas presenciales se repartió entre HAA, HTG, HIP y HE en proporción a lo que había registrado el itinerario.</w:t>
      </w:r>
    </w:p>
    <w:tbl>
      <w:tblPr>
        <w:tblW w:type="auto" w:w="0"/>
        <w:jc w:val="center"/>
        <w:tblLayout w:type="fixed"/>
        <w:tblLook w:firstColumn="1" w:firstRow="1" w:lastColumn="0" w:lastRow="0" w:noHBand="0" w:noVBand="1" w:val="04A0"/>
      </w:tblPr>
      <w:tblGrid>
        <w:gridCol w:w="1474"/>
        <w:gridCol w:w="1077"/>
        <w:gridCol w:w="1077"/>
        <w:gridCol w:w="1077"/>
        <w:gridCol w:w="1077"/>
        <w:gridCol w:w="1077"/>
        <w:gridCol w:w="1077"/>
        <w:gridCol w:w="1077"/>
      </w:tblGrid>
      <w:tr>
        <w:trPr>
          <w:tblHeader/>
        </w:trPr>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Versión</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HP</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HAA</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HTG</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HIP</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HE</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TOTAL</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Créditos</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Recibida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160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120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360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Corregida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160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65</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22</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270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2.3</w:t>
        <w:tab/>
      </w:r>
      <w:r>
        <w:rPr>
          <w:rFonts w:ascii="Century Gothic" w:hAnsi="Century Gothic" w:cs="Century Gothic" w:eastAsia="Century Gothic"/>
          <w:b/>
          <w:i w:val="0"/>
          <w:sz w:val="24"/>
        </w:rPr>
        <w:t>Formato</w:t>
      </w:r>
    </w:p>
    <w:p>
      <w:pPr>
        <w:numPr>
          <w:ilvl w:val="0"/>
          <w:numId w:val="901"/>
        </w:numPr>
        <w:spacing w:before="0" w:after="160" w:line="240" w:lineRule="auto"/>
        <w:jc w:val="both"/>
      </w:pPr>
      <w:r>
        <w:rPr>
          <w:rFonts w:ascii="Century Gothic" w:hAnsi="Century Gothic" w:cs="Century Gothic" w:eastAsia="Century Gothic"/>
          <w:b w:val="0"/>
          <w:i w:val="0"/>
          <w:sz w:val="20"/>
        </w:rPr>
        <w:t>Fuente Century Gothic en todo el documento (antes: Roboto).</w:t>
      </w:r>
    </w:p>
    <w:p>
      <w:pPr>
        <w:numPr>
          <w:ilvl w:val="0"/>
          <w:numId w:val="901"/>
        </w:numPr>
        <w:spacing w:before="0" w:after="160" w:line="240" w:lineRule="auto"/>
        <w:jc w:val="both"/>
      </w:pPr>
      <w:r>
        <w:rPr>
          <w:rFonts w:ascii="Century Gothic" w:hAnsi="Century Gothic" w:cs="Century Gothic" w:eastAsia="Century Gothic"/>
          <w:b w:val="0"/>
          <w:i w:val="0"/>
          <w:sz w:val="20"/>
        </w:rPr>
        <w:t>Hoja carta con márgenes de 3 cm arriba y a la izquierda y de 2 cm a la derecha y abajo; encabezado institucional con los logos de la UMSA y de la Carrera, y número de página.</w:t>
      </w:r>
    </w:p>
    <w:p>
      <w:pPr>
        <w:numPr>
          <w:ilvl w:val="0"/>
          <w:numId w:val="901"/>
        </w:numPr>
        <w:spacing w:before="0" w:after="160" w:line="240" w:lineRule="auto"/>
        <w:jc w:val="both"/>
      </w:pPr>
      <w:r>
        <w:rPr>
          <w:rFonts w:ascii="Century Gothic" w:hAnsi="Century Gothic" w:cs="Century Gothic" w:eastAsia="Century Gothic"/>
          <w:b w:val="0"/>
          <w:i w:val="0"/>
          <w:sz w:val="20"/>
        </w:rPr>
        <w:t>Tablas al ancho de la página, con rótulos en azul y letra blanca en negrita, cuerpo en azul claro y bordes azules.</w:t>
      </w:r>
    </w:p>
    <w:p>
      <w:pPr>
        <w:numPr>
          <w:ilvl w:val="0"/>
          <w:numId w:val="901"/>
        </w:numPr>
        <w:spacing w:before="0" w:after="160" w:line="240" w:lineRule="auto"/>
        <w:jc w:val="both"/>
      </w:pPr>
      <w:r>
        <w:rPr>
          <w:rFonts w:ascii="Century Gothic" w:hAnsi="Century Gothic" w:cs="Century Gothic" w:eastAsia="Century Gothic"/>
          <w:b w:val="0"/>
          <w:i w:val="0"/>
          <w:sz w:val="20"/>
        </w:rPr>
        <w:t>Viñetas cuadradas e interlineado sencillo.</w:t>
      </w:r>
    </w:p>
    <w:p>
      <w:pPr>
        <w:numPr>
          <w:ilvl w:val="0"/>
          <w:numId w:val="901"/>
        </w:numPr>
        <w:spacing w:before="0" w:after="200" w:line="240" w:lineRule="auto"/>
        <w:jc w:val="both"/>
      </w:pPr>
      <w:r>
        <w:rPr>
          <w:rFonts w:ascii="Century Gothic" w:hAnsi="Century Gothic" w:cs="Century Gothic" w:eastAsia="Century Gothic"/>
          <w:b w:val="0"/>
          <w:i w:val="0"/>
          <w:sz w:val="20"/>
        </w:rPr>
        <w:t>Se quitó el texto en color (8 fragmentos).</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3.</w:t>
        <w:tab/>
      </w:r>
      <w:r>
        <w:rPr>
          <w:rFonts w:ascii="Century Gothic" w:hAnsi="Century Gothic" w:cs="Century Gothic" w:eastAsia="Century Gothic"/>
          <w:b/>
          <w:i w:val="0"/>
          <w:sz w:val="24"/>
        </w:rPr>
        <w:t>Resultado de la matriz de cumplimiento</w:t>
      </w:r>
    </w:p>
    <w:p>
      <w:pPr>
        <w:spacing w:before="0" w:after="200" w:line="240" w:lineRule="auto"/>
        <w:jc w:val="both"/>
      </w:pPr>
      <w:r>
        <w:rPr>
          <w:rFonts w:ascii="Century Gothic" w:hAnsi="Century Gothic" w:cs="Century Gothic" w:eastAsia="Century Gothic"/>
          <w:b w:val="0"/>
          <w:i w:val="0"/>
          <w:sz w:val="20"/>
        </w:rPr>
        <w:t>Con las correcciones aplicadas, el itinerario cumple 21 de los 21 controles, cumple en parte 0 y no cumple 0.</w:t>
      </w:r>
    </w:p>
    <w:tbl>
      <w:tblPr>
        <w:tblW w:type="auto" w:w="0"/>
        <w:jc w:val="center"/>
        <w:tblLayout w:type="fixed"/>
        <w:tblLook w:firstColumn="1" w:firstRow="1" w:lastColumn="0" w:lastRow="0" w:noHBand="0" w:noVBand="1" w:val="04A0"/>
      </w:tblPr>
      <w:tblGrid>
        <w:gridCol w:w="850"/>
        <w:gridCol w:w="2154"/>
        <w:gridCol w:w="1247"/>
        <w:gridCol w:w="5102"/>
      </w:tblGrid>
      <w:tr>
        <w:trPr>
          <w:tblHeader/>
        </w:trPr>
        <w:tc>
          <w:tcPr>
            <w:tcW w:type="dxa" w:w="85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Código</w:t>
            </w:r>
          </w:p>
        </w:tc>
        <w:tc>
          <w:tcPr>
            <w:tcW w:type="dxa" w:w="21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Resultado</w:t>
            </w:r>
          </w:p>
        </w:tc>
        <w:tc>
          <w:tcPr>
            <w:tcW w:type="dxa" w:w="51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Datos generales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C2</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Carga horaria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C3</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Créditos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C4</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Unidad de competencia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C5</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Elementos y capítulos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C6</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Número de elementos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C7</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Dos criterios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C8</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Evidencias de desempeño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C9</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Evidencias de producto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C10</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Marcas C, P, A, T</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C11</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Saberes A y T</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C12</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Circunstanciales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C13</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Actividades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C14</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Rótulo de estrategias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C15</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Tipos de evaluación</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C16</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Rúbricas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C17</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Pesos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C18</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Bibliografía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C19</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Expresiones a evitar</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C20</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Criterios de calificación</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C21</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Redacción de enunciados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bl>
    <w:p>
      <w:pPr>
        <w:spacing w:before="0" w:after="120" w:line="240" w:lineRule="auto"/>
        <w:jc w:val="left"/>
      </w:pP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4.</w:t>
        <w:tab/>
      </w:r>
      <w:r>
        <w:rPr>
          <w:rFonts w:ascii="Century Gothic" w:hAnsi="Century Gothic" w:cs="Century Gothic" w:eastAsia="Century Gothic"/>
          <w:b/>
          <w:i w:val="0"/>
          <w:sz w:val="24"/>
        </w:rPr>
        <w:t>Observaciones que se mantienen</w:t>
      </w:r>
    </w:p>
    <w:p>
      <w:pPr>
        <w:spacing w:before="0" w:after="200" w:line="240" w:lineRule="auto"/>
        <w:jc w:val="both"/>
      </w:pPr>
      <w:r>
        <w:rPr>
          <w:rFonts w:ascii="Century Gothic" w:hAnsi="Century Gothic" w:cs="Century Gothic" w:eastAsia="Century Gothic"/>
          <w:b w:val="0"/>
          <w:i w:val="0"/>
          <w:sz w:val="20"/>
        </w:rPr>
        <w:t>Estas observaciones no se corrigieron porque tocan el contenido que redactaron los docentes. Quedan para que la comisión las evalúe.</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4.1</w:t>
        <w:tab/>
      </w:r>
      <w:r>
        <w:rPr>
          <w:rFonts w:ascii="Century Gothic" w:hAnsi="Century Gothic" w:cs="Century Gothic" w:eastAsia="Century Gothic"/>
          <w:b/>
          <w:i w:val="0"/>
          <w:sz w:val="24"/>
        </w:rPr>
        <w:t>Coherencia de la cadena de competencia</w:t>
      </w:r>
    </w:p>
    <w:tbl>
      <w:tblPr>
        <w:tblW w:type="auto" w:w="0"/>
        <w:jc w:val="center"/>
        <w:tblLayout w:type="fixed"/>
        <w:tblLook w:firstColumn="1" w:firstRow="1" w:lastColumn="0" w:lastRow="0" w:noHBand="0" w:noVBand="1" w:val="04A0"/>
      </w:tblPr>
      <w:tblGrid>
        <w:gridCol w:w="1871"/>
        <w:gridCol w:w="4195"/>
        <w:gridCol w:w="3288"/>
      </w:tblGrid>
      <w:tr>
        <w:trPr>
          <w:tblHeader/>
        </w:trPr>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Ubicación</w:t>
            </w:r>
          </w:p>
        </w:tc>
        <w:tc>
          <w:tcPr>
            <w:tcW w:type="dxa" w:w="41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c>
          <w:tcPr>
            <w:tcW w:type="dxa" w:w="32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Sugerencia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E1, criterio 2, evidencia 2.2 / Producto 4</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 criterio 2 trata la aplicación de las ecuaciones contables y la clasificación de transacciones, pero la evidencia 2.2 y el Producto 4 clasifican empresas bolivianas por constitución, capital y actividad, lo que no demuestra ese criterio.</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Llevar la clasificación de empresas al criterio 1 o reemplazar la evidencia 2.2 por una clasificación de transacciones permutativas, modificativas y mixtas.</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E4, criterio 1 / Producto 14 y su rúbrica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 Producto 14 se llama 'Papel de trabajo de comprobación y verificación de saldos', pero su rúbrica sigue titulada 'Cédula de deficiencias' y evalúa detección de deficiencias y asientos de corrección, que corresponden al producto anterior al cambio.</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Ajustar el título y los criterios de la rúbrica al papel de trabajo de verificación de saldos, o el producto a la cédula de deficiencias.</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E5, criterio 1, evidencia 1.2 / Producto 18</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 rúbrica del Producto 18 incluye el criterio 'Presentación oral', pero la evidencia 1.2 es 'Prepara en aula' el estado y las notas, sin exposición ante el curso.</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Cambiar el criterio por uno propio del estado de evolución del patrimonio y de las notas, o incorporar la exposición en la evidencia.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E6, criterio 1, evidencia 1.2 / Producto 22</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 producto es 'Carpeta de evidencias del ciclo contable' y la rúbrica se titula 'Portafolio' y evalúa 'Uso del sistema' (registro en sistema contable), que la evidencia 1.2 no exige.</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Unificar el nombre del producto y explicitar el registro en sistema contable en la evidencia o retirar ese criterio.</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E4, criterio 1, evidencia 1.2</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 evidencia 'Verifica en equipo la comprobación y verificación de saldos' es circular y no nombra la acción observable ni el objeto (libro diario, mayores).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Redactar como 'Verifica en equipo los saldos del balance de comprobación contra el diario y los mayores'.</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E2 (Productos 7 y 8) y E6 (Productos 23 y 24)</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 plan de cuentas se evalúa dos veces: Producto 8 'Plan codificado de las cuentas' y Producto 23 'Plan de cuentas de una empresa comercial'; los contenidos de Tema 5 y Tema 19 también se superponen.</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Concentrar el plan de cuentas en un solo elemento y dejar en E6 solo su configuración en el sistema.</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4.2</w:t>
        <w:tab/>
      </w:r>
      <w:r>
        <w:rPr>
          <w:rFonts w:ascii="Century Gothic" w:hAnsi="Century Gothic" w:cs="Century Gothic" w:eastAsia="Century Gothic"/>
          <w:b/>
          <w:i w:val="0"/>
          <w:sz w:val="24"/>
        </w:rPr>
        <w:t>Aspectos técnicos y normativos</w:t>
      </w:r>
    </w:p>
    <w:tbl>
      <w:tblPr>
        <w:tblW w:type="auto" w:w="0"/>
        <w:jc w:val="center"/>
        <w:tblLayout w:type="fixed"/>
        <w:tblLook w:firstColumn="1" w:firstRow="1" w:lastColumn="0" w:lastRow="0" w:noHBand="0" w:noVBand="1" w:val="04A0"/>
      </w:tblPr>
      <w:tblGrid>
        <w:gridCol w:w="1871"/>
        <w:gridCol w:w="4195"/>
        <w:gridCol w:w="3288"/>
      </w:tblGrid>
      <w:tr>
        <w:trPr>
          <w:tblHeader/>
        </w:trPr>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Ubicación</w:t>
            </w:r>
          </w:p>
        </w:tc>
        <w:tc>
          <w:tcPr>
            <w:tcW w:type="dxa" w:w="41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c>
          <w:tcPr>
            <w:tcW w:type="dxa" w:w="32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Sugerencia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E5, contenidos (Tema 12, cualidades)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 lista de cualidades mezcla términos del marco anterior ('fiabilidad', 'compensación', 'uniformidad') con los del Marco Conceptual vigente (representación fiel), sin distinguir características fundamentales y de mejora.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Ordenar según el Marco Conceptual 2018: relevancia y representación fiel como fundamentales; comparabilidad, verificabilidad, oportunidad y comprensibilidad como de mejora; y señalar aparte las NC bolivianas.</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E3, conocimientos circunstanciales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Se atribuye al SIN un plazo de conservación de 5 años; ese plazo es el del Código de Comercio (art. 52), mientras que el Código Tributario (art. 70, num. 8) exige conservar durante el término de prescripción, que tras la Ley 812 es de ocho años.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Separar el plazo comercial del tributario y citar el art. 70 de la Ley 2492.</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Bibliografía básica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'Ley N° 1606.' aparece sin título ni fecha, y 'Código de Comercio' y 'Código Tributario' sin año; la Ley 1606 ya está incorporada en el texto ordenado de la Ley 843 que también se cita.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Completar las referencias (autor, año, título) o retirar la Ley 1606 por redundante.</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4.3</w:t>
        <w:tab/>
      </w:r>
      <w:r>
        <w:rPr>
          <w:rFonts w:ascii="Century Gothic" w:hAnsi="Century Gothic" w:cs="Century Gothic" w:eastAsia="Century Gothic"/>
          <w:b/>
          <w:i w:val="0"/>
          <w:sz w:val="24"/>
        </w:rPr>
        <w:t>Marcas de saber</w:t>
      </w:r>
    </w:p>
    <w:tbl>
      <w:tblPr>
        <w:tblW w:type="auto" w:w="0"/>
        <w:jc w:val="center"/>
        <w:tblLayout w:type="fixed"/>
        <w:tblLook w:firstColumn="1" w:firstRow="1" w:lastColumn="0" w:lastRow="0" w:noHBand="0" w:noVBand="1" w:val="04A0"/>
      </w:tblPr>
      <w:tblGrid>
        <w:gridCol w:w="1871"/>
        <w:gridCol w:w="4195"/>
        <w:gridCol w:w="3288"/>
      </w:tblGrid>
      <w:tr>
        <w:trPr>
          <w:tblHeader/>
        </w:trPr>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Ubicación</w:t>
            </w:r>
          </w:p>
        </w:tc>
        <w:tc>
          <w:tcPr>
            <w:tcW w:type="dxa" w:w="41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c>
          <w:tcPr>
            <w:tcW w:type="dxa" w:w="32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Sugerencia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E1, Tema 1: 'Sistema de registro contable, teoría contable, diseño de sistemas contables… auditoría financiera, operativa y social. (C, P, T)'</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Contenido descriptivo; no exige operar herramienta ni ejecutar un procedimiento, por lo que (P, T) no se sustenta.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E1, Tema 1: 'Clasificación de la contabilidad… relación con… la informática. (C, T)'</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(T) solo porque se menciona la informática; es cognitivo.</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E2, Tema 5: 'Naturaleza de las cuentas: código, requisitos para codificar… (C,P,A)'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 sin conducta esperada ni evidencia que la observe.</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E5, Tema 12: 'Cualidades: oportunidad, comprensibilidad… (C, 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Enumera cualidades de la información sin conducta observable; corresponde (C).</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4.4</w:t>
        <w:tab/>
      </w:r>
      <w:r>
        <w:rPr>
          <w:rFonts w:ascii="Century Gothic" w:hAnsi="Century Gothic" w:cs="Century Gothic" w:eastAsia="Century Gothic"/>
          <w:b/>
          <w:i w:val="0"/>
          <w:sz w:val="24"/>
        </w:rPr>
        <w:t>Conocimientos circunstanciales</w:t>
      </w:r>
    </w:p>
    <w:tbl>
      <w:tblPr>
        <w:tblW w:type="auto" w:w="0"/>
        <w:jc w:val="center"/>
        <w:tblLayout w:type="fixed"/>
        <w:tblLook w:firstColumn="1" w:firstRow="1" w:lastColumn="0" w:lastRow="0" w:noHBand="0" w:noVBand="1" w:val="04A0"/>
      </w:tblPr>
      <w:tblGrid>
        <w:gridCol w:w="1871"/>
        <w:gridCol w:w="4195"/>
        <w:gridCol w:w="3288"/>
      </w:tblGrid>
      <w:tr>
        <w:trPr>
          <w:tblHeader/>
        </w:trPr>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Ubicación</w:t>
            </w:r>
          </w:p>
        </w:tc>
        <w:tc>
          <w:tcPr>
            <w:tcW w:type="dxa" w:w="41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c>
          <w:tcPr>
            <w:tcW w:type="dxa" w:w="32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Sugerencia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E4, conocimientos circunstanciales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'Estimaciones y provisiones por incertidumbre comercial', 'Devengamiento del tiempo en contratos' y 'Hechos acumulados no facturados' son contenidos contables propios de la asignatura y de CPA-201 (previsiones, pagos e ingresos anticipados), no conocimientos circunstanciales; además 'desgaste físico y obsolescencia' y 'uso y desgaste de activos a largo plazo' se repiten.</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E2 y E5, conocimientos circunstanciales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 jerarquización de códigos para 'parametrización en sistemas informáticos' y los 'formatos digitales en PDF/hoja de cálculo' se dictan en CPA-102 Tecnologías de Información y Herramientas Digitales y CPA-305 Sistemas Contables ERP.</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E3, conocimientos circunstanciales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Los deberes formales de los libros de comercio (Código de Comercio arts. 44 y 52) se dictan en DER-101 Derecho Comercial y Corporativo, y los deberes formales ante el SIN en DER-201 Derecho Tributario.</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4.5</w:t>
        <w:tab/>
      </w:r>
      <w:r>
        <w:rPr>
          <w:rFonts w:ascii="Century Gothic" w:hAnsi="Century Gothic" w:cs="Century Gothic" w:eastAsia="Century Gothic"/>
          <w:b/>
          <w:i w:val="0"/>
          <w:sz w:val="24"/>
        </w:rPr>
        <w:t>Otras observaciones</w:t>
      </w:r>
    </w:p>
    <w:tbl>
      <w:tblPr>
        <w:tblW w:type="auto" w:w="0"/>
        <w:jc w:val="center"/>
        <w:tblLayout w:type="fixed"/>
        <w:tblLook w:firstColumn="1" w:firstRow="1" w:lastColumn="0" w:lastRow="0" w:noHBand="0" w:noVBand="1" w:val="04A0"/>
      </w:tblPr>
      <w:tblGrid>
        <w:gridCol w:w="1871"/>
        <w:gridCol w:w="4195"/>
        <w:gridCol w:w="3288"/>
      </w:tblGrid>
      <w:tr>
        <w:trPr>
          <w:tblHeader/>
        </w:trPr>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Ubicación</w:t>
            </w:r>
          </w:p>
        </w:tc>
        <w:tc>
          <w:tcPr>
            <w:tcW w:type="dxa" w:w="41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c>
          <w:tcPr>
            <w:tcW w:type="dxa" w:w="32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Sugerencia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Rúbricas de los Productos 8 y 14</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Los títulos de rúbrica conservan los nombres anteriores ('Catálogo codificado de cuentas', 'Cédula de deficiencias') distintos de las evidencias de producto (Plan codificado de las cuentas; Papel de trabajo de comprobación).</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E4, criterios de desempeño</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Los dos criterios del E4 no llevan numeración 1. y 2., a diferencia del resto del documento.</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E3, contenidos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 contenido del Código de Ética del IESBA aparece precedido por un número suelto '13.' que no corresponde a la lista.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Estrategias de evaluación, sumativa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Incluye 'asistencia' como componente sumativo, mientras que los criterios de calificación asignan el 100 % a los productos.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bl>
    <w:p>
      <w:pPr>
        <w:spacing w:before="0" w:after="120" w:line="240" w:lineRule="auto"/>
        <w:jc w:val="left"/>
      </w:pP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5.</w:t>
        <w:tab/>
      </w:r>
      <w:r>
        <w:rPr>
          <w:rFonts w:ascii="Century Gothic" w:hAnsi="Century Gothic" w:cs="Century Gothic" w:eastAsia="Century Gothic"/>
          <w:b/>
          <w:i w:val="0"/>
          <w:sz w:val="24"/>
        </w:rPr>
        <w:t>Valoración</w:t>
      </w:r>
    </w:p>
    <w:p>
      <w:pPr>
        <w:spacing w:before="0" w:after="200" w:line="240" w:lineRule="auto"/>
        <w:jc w:val="both"/>
      </w:pPr>
      <w:r>
        <w:rPr>
          <w:rFonts w:ascii="Century Gothic" w:hAnsi="Century Gothic" w:cs="Century Gothic" w:eastAsia="Century Gothic"/>
          <w:b w:val="0"/>
          <w:i w:val="0"/>
          <w:sz w:val="20"/>
        </w:rPr>
        <w:t>Itinerario completo y bien encadenado en lo esencial, con contenidos adecuados a primer año y rúbricas específicas. Los problemas principales son la evidencia 2.2 del E1 desligada de su criterio, rúbricas que no se actualizaron tras el cambio de nombre de productos, la duplicación del plan de cuentas entre E2 y E6 y la carga horaria llenada con una suma errónea.</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