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Informe de Correcciones y Observaciones</w:t>
      </w:r>
    </w:p>
    <w:p>
      <w:pPr>
        <w:spacing w:before="0" w:after="360" w:line="240" w:lineRule="auto"/>
        <w:jc w:val="center"/>
      </w:pPr>
      <w:r>
        <w:rPr>
          <w:rFonts w:ascii="Century Gothic" w:hAnsi="Century Gothic" w:cs="Century Gothic" w:eastAsia="Century Gothic"/>
          <w:b/>
          <w:i w:val="0"/>
          <w:sz w:val="28"/>
        </w:rPr>
        <w:t>CPA-301 Contabilidad Internacional</w:t>
      </w:r>
    </w:p>
    <w:p>
      <w:pPr>
        <w:spacing w:before="0" w:after="240" w:line="240" w:lineRule="auto"/>
        <w:jc w:val="center"/>
      </w:pPr>
      <w:r>
        <w:rPr>
          <w:rFonts w:ascii="Century Gothic" w:hAnsi="Century Gothic" w:cs="Century Gothic" w:eastAsia="Century Gothic"/>
          <w:b w:val="0"/>
          <w:i/>
          <w:sz w:val="20"/>
        </w:rPr>
        <w:t>Punto 4.5 Planes de asignatura, Rediseño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Datos de la asignatura</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Dato</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Detalle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Sigla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CPA-301</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Asignatura según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Contabilidad Internacional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 del itinerario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Información Financiera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Año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 año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Carga horaria y créditos de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 h/semana, 160 horas presenciales al año, 8 créditos y 240 horas de trabajo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recibido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CPA-301.docx</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corregido y formateado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4.5 Itinerarios formateados y corregidos / CPA-301 Contabilidad Internacional.docx</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Correcciones aplicadas</w:t>
      </w:r>
    </w:p>
    <w:p>
      <w:pPr>
        <w:spacing w:before="0" w:after="200" w:line="240" w:lineRule="auto"/>
        <w:jc w:val="both"/>
      </w:pPr>
      <w:r>
        <w:rPr>
          <w:rFonts w:ascii="Century Gothic" w:hAnsi="Century Gothic" w:cs="Century Gothic" w:eastAsia="Century Gothic"/>
          <w:b w:val="0"/>
          <w:i w:val="0"/>
          <w:sz w:val="20"/>
        </w:rPr>
        <w:t>Se corrigieron directamente, sin control de cambios, solo los errores imperdonables: ortografía, palabras repetidas o de más, espacios y puntuación, notas de trabajo y textos sobrantes. El resto del contenido se mantiene tal como lo redactaron los docentes.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2.1</w:t>
        <w:tab/>
      </w:r>
      <w:r>
        <w:rPr>
          <w:rFonts w:ascii="Century Gothic" w:hAnsi="Century Gothic" w:cs="Century Gothic" w:eastAsia="Century Gothic"/>
          <w:b/>
          <w:i w:val="0"/>
          <w:sz w:val="24"/>
        </w:rPr>
        <w:t>Errores corregidos</w:t>
      </w:r>
    </w:p>
    <w:tbl>
      <w:tblPr>
        <w:tblW w:type="auto" w:w="0"/>
        <w:jc w:val="center"/>
        <w:tblLayout w:type="fixed"/>
        <w:tblLook w:firstColumn="1" w:firstRow="1" w:lastColumn="0" w:lastRow="0" w:noHBand="0" w:noVBand="1" w:val="04A0"/>
      </w:tblPr>
      <w:tblGrid>
        <w:gridCol w:w="1814"/>
        <w:gridCol w:w="3402"/>
        <w:gridCol w:w="3402"/>
        <w:gridCol w:w="737"/>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 Cálculo y aplica el reconocimiento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 Calcula y aplica el reconocimiento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Hechos posteriors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Hechos posteriores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Marco applicable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Marco aplicable</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NIIF para ls PYMES en Bolivia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NIIF para las PYMES en Bolivia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Presentación del estado de flujo de efectivo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Presentación del estado de flujos de efectivo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2.2</w:t>
        <w:tab/>
      </w:r>
      <w:r>
        <w:rPr>
          <w:rFonts w:ascii="Century Gothic" w:hAnsi="Century Gothic" w:cs="Century Gothic" w:eastAsia="Century Gothic"/>
          <w:b/>
          <w:i w:val="0"/>
          <w:sz w:val="24"/>
        </w:rPr>
        <w:t>Carga horaria y créditos</w:t>
      </w:r>
    </w:p>
    <w:p>
      <w:pPr>
        <w:spacing w:before="0" w:after="200" w:line="240" w:lineRule="auto"/>
        <w:jc w:val="both"/>
      </w:pPr>
      <w:r>
        <w:rPr>
          <w:rFonts w:ascii="Century Gothic" w:hAnsi="Century Gothic" w:cs="Century Gothic" w:eastAsia="Century Gothic"/>
          <w:b w:val="0"/>
          <w:i w:val="0"/>
          <w:sz w:val="20"/>
        </w:rPr>
        <w:t>Se registraron las horas y los créditos de la malla curricular con créditos: 160 horas presenciales (HP) y un total de 240 horas de trabajo, que equivalen a 8 créditos de 30 horas. La diferencia entre el total y las horas presenciales se repartió entre HAA, HTG, HIP y HE en proporción a lo que había registrado el itinerario.</w:t>
      </w:r>
    </w:p>
    <w:tbl>
      <w:tblPr>
        <w:tblW w:type="auto" w:w="0"/>
        <w:jc w:val="center"/>
        <w:tblLayout w:type="fixed"/>
        <w:tblLook w:firstColumn="1" w:firstRow="1" w:lastColumn="0" w:lastRow="0" w:noHBand="0" w:noVBand="1" w:val="04A0"/>
      </w:tblPr>
      <w:tblGrid>
        <w:gridCol w:w="1474"/>
        <w:gridCol w:w="1077"/>
        <w:gridCol w:w="1077"/>
        <w:gridCol w:w="1077"/>
        <w:gridCol w:w="1077"/>
        <w:gridCol w:w="1077"/>
        <w:gridCol w:w="1077"/>
        <w:gridCol w:w="1077"/>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Versión</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HAA</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HTG</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HIP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HE</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Créditos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Recibida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Corregida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2.3</w:t>
        <w:tab/>
      </w:r>
      <w:r>
        <w:rPr>
          <w:rFonts w:ascii="Century Gothic" w:hAnsi="Century Gothic" w:cs="Century Gothic" w:eastAsia="Century Gothic"/>
          <w:b/>
          <w:i w:val="0"/>
          <w:sz w:val="24"/>
        </w:rPr>
        <w:t>Formato</w:t>
      </w:r>
    </w:p>
    <w:p>
      <w:pPr>
        <w:numPr>
          <w:ilvl w:val="0"/>
          <w:numId w:val="901"/>
        </w:numPr>
        <w:spacing w:before="0" w:after="160" w:line="240" w:lineRule="auto"/>
        <w:jc w:val="both"/>
      </w:pPr>
      <w:r>
        <w:rPr>
          <w:rFonts w:ascii="Century Gothic" w:hAnsi="Century Gothic" w:cs="Century Gothic" w:eastAsia="Century Gothic"/>
          <w:b w:val="0"/>
          <w:i w:val="0"/>
          <w:sz w:val="20"/>
        </w:rPr>
        <w:t>Fuente Century Gothic en todo el documento.</w:t>
      </w:r>
    </w:p>
    <w:p>
      <w:pPr>
        <w:numPr>
          <w:ilvl w:val="0"/>
          <w:numId w:val="901"/>
        </w:numPr>
        <w:spacing w:before="0" w:after="160" w:line="240" w:lineRule="auto"/>
        <w:jc w:val="both"/>
      </w:pPr>
      <w:r>
        <w:rPr>
          <w:rFonts w:ascii="Century Gothic" w:hAnsi="Century Gothic" w:cs="Century Gothic" w:eastAsia="Century Gothic"/>
          <w:b w:val="0"/>
          <w:i w:val="0"/>
          <w:sz w:val="20"/>
        </w:rPr>
        <w:t>Hoja carta con márgenes de 3 cm arriba y a la izquierda y de 2 cm a la derecha y abajo; encabezado institucional con los logos de la UMSA y de la Carrera, y número de página.</w:t>
      </w:r>
    </w:p>
    <w:p>
      <w:pPr>
        <w:numPr>
          <w:ilvl w:val="0"/>
          <w:numId w:val="901"/>
        </w:numPr>
        <w:spacing w:before="0" w:after="160" w:line="240" w:lineRule="auto"/>
        <w:jc w:val="both"/>
      </w:pPr>
      <w:r>
        <w:rPr>
          <w:rFonts w:ascii="Century Gothic" w:hAnsi="Century Gothic" w:cs="Century Gothic" w:eastAsia="Century Gothic"/>
          <w:b w:val="0"/>
          <w:i w:val="0"/>
          <w:sz w:val="20"/>
        </w:rPr>
        <w:t>Tablas al ancho de la página, con rótulos en azul y letra blanca en negrita, cuerpo en azul claro y bordes azules.</w:t>
      </w:r>
    </w:p>
    <w:p>
      <w:pPr>
        <w:numPr>
          <w:ilvl w:val="0"/>
          <w:numId w:val="901"/>
        </w:numPr>
        <w:spacing w:before="0" w:after="200" w:line="240" w:lineRule="auto"/>
        <w:jc w:val="both"/>
      </w:pPr>
      <w:r>
        <w:rPr>
          <w:rFonts w:ascii="Century Gothic" w:hAnsi="Century Gothic" w:cs="Century Gothic" w:eastAsia="Century Gothic"/>
          <w:b w:val="0"/>
          <w:i w:val="0"/>
          <w:sz w:val="20"/>
        </w:rPr>
        <w:t>Viñetas cuadradas e interlineado sencillo.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Resultado de la matriz de cumplimiento</w:t>
      </w:r>
    </w:p>
    <w:p>
      <w:pPr>
        <w:spacing w:before="0" w:after="200" w:line="240" w:lineRule="auto"/>
        <w:jc w:val="both"/>
      </w:pPr>
      <w:r>
        <w:rPr>
          <w:rFonts w:ascii="Century Gothic" w:hAnsi="Century Gothic" w:cs="Century Gothic" w:eastAsia="Century Gothic"/>
          <w:b w:val="0"/>
          <w:i w:val="0"/>
          <w:sz w:val="20"/>
        </w:rPr>
        <w:t>Con las correcciones aplicadas, el itinerario cumple 16 de los 21 controles, cumple en parte 3 y no cumple 2.</w:t>
      </w:r>
    </w:p>
    <w:tbl>
      <w:tblPr>
        <w:tblW w:type="auto" w:w="0"/>
        <w:jc w:val="center"/>
        <w:tblLayout w:type="fixed"/>
        <w:tblLook w:firstColumn="1" w:firstRow="1" w:lastColumn="0" w:lastRow="0" w:noHBand="0" w:noVBand="1" w:val="04A0"/>
      </w:tblPr>
      <w:tblGrid>
        <w:gridCol w:w="850"/>
        <w:gridCol w:w="2154"/>
        <w:gridCol w:w="1247"/>
        <w:gridCol w:w="5102"/>
      </w:tblGrid>
      <w:tr>
        <w:trPr>
          <w:tblHeader/>
        </w:trPr>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Código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Resultado</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Datos generales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Carga horaria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Parcial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encabezado incluye el desglose de los nombres de las siglas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Créditos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 de competencia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Elementos y capítulos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Número de elementos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Dos criterios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desempeño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producto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C, P, A,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Parcial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 contenidos sin punto antes de la marca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Saberes A y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Circunstanciales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Actividades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falta la columna «En clase»; 4 columnas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Rótulo de estrategias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Tipos de evaluación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Pesos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Parcial</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 de 12 referencias básicas anteriores a 2016</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Expresiones a evitar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expresiones a evitar: «mediante» (2)</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Criterios de calificación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Redacción de enunciados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Observaciones que se mantienen</w:t>
      </w:r>
    </w:p>
    <w:p>
      <w:pPr>
        <w:spacing w:before="0" w:after="200" w:line="240" w:lineRule="auto"/>
        <w:jc w:val="both"/>
      </w:pPr>
      <w:r>
        <w:rPr>
          <w:rFonts w:ascii="Century Gothic" w:hAnsi="Century Gothic" w:cs="Century Gothic" w:eastAsia="Century Gothic"/>
          <w:b w:val="0"/>
          <w:i w:val="0"/>
          <w:sz w:val="20"/>
        </w:rPr>
        <w:t>Estas observaciones no se corrigieron porque tocan el contenido que redactaron los docentes. Quedan para que la comisión las evalúe.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w:t>
        <w:tab/>
      </w:r>
      <w:r>
        <w:rPr>
          <w:rFonts w:ascii="Century Gothic" w:hAnsi="Century Gothic" w:cs="Century Gothic" w:eastAsia="Century Gothic"/>
          <w:b/>
          <w:i w:val="0"/>
          <w:sz w:val="24"/>
        </w:rPr>
        <w:t>Coherencia de la cadena de competencia</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E6, criterios 1 y 2 / evidencias 1.2 y 2.1 / Productos 22 y 23</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Las evidencias están cruzadas: la conciliación del patrimonio (Producto 22) cuelga del criterio 1 aunque es lo que exige el criterio 2, y el informe de exenciones y excepciones (Producto 23) cuelga del criterio 2 aunque corresponde al criterio 1; además ninguna evidencia produce la conciliación del resultado ni las notas de transición que pide el criterio 2.</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Intercambiar las evidencias 1.2 y 2.1 y añadir al criterio 2 la conciliación del resultado y la nota de transición.</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criterio 2, evidencia 2.2 / Producto 16</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incluye el tratamiento de un arrendamiento (NIIF 16), que pertenece al criterio 1; el criterio 2 trata deterioro (NIC 36) y activos mantenidos para la venta (NIIF 5).</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Dejar en la evidencia 2.2 solo la NIIF 5 y operaciones discontinuadas, y llevar el arrendamiento a una evidencia del criterio 1.</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criterio 1, evidencia 1.2 / Producto 6</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trata la jerarquía de fuentes alternativas ante vacíos de las NCGA, pero el producto es un informe del proceso de armonización contable con las NIIF, tema de la evidencia 1.1.</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Renombrar el Producto 6 como 'Informe de la jerarquía de fuentes aplicable en ausencia de norma boliviana' o ajustar la evidencia.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criterio 1, evidencia 1.2 / Producto 14</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calcula costo, depreciación y medición posterior de propiedades, planta y equipo, pero el producto abarca además inventarios y activos intangibles.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Ajustar el alcance del producto a la evidencia o ampliar la evidencia.</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Aspectos técnicos y normativos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contenidos (Tema 15)</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 presenta 'el valor de uso' como modelo de medición posterior de las propiedades, planta y equipo; la NIC 16 solo admite el modelo del costo y el de revaluación, y el valor de uso es un concepto de la NIC 36.</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Retirar 'el valor de uso' de ese contenido y tratarlo en el Tema 17 (NIC 36).</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E5, criterio 1, evidencia 1.1 / Producto 17</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'Registra… los pasivos contingentes' y el producto 'reconocimiento y medición de… activos y pasivos contingentes' contradicen la NIC 37, que prohíbe reconocer activos y pasivos contingentes (solo se revelan).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Redactar 'Registra las provisiones y revela los activos y pasivos contingentes'.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Temas 8 y 9</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itinerario adopta la NIIF 18, pero mantiene la NIC 8 con su título anterior y no menciona los cambios que la NIIF 18 introduce en la NIC 7 (clasificación obligatoria de intereses y dividendos, punto de partida del método indirecto); con la NIIF 18 la NIC 8 pasa a denominarse 'Bases de Preparación de los Estados Financieros'.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Actualizar el título de la NIC 8 y los contenidos de la NIC 7 conforme a las modificaciones de la NIIF 18.</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NIIF para las PYMES de 2025 se atribuye a la 'Fundación del Comité de Normas Internacionales de Contabilidad, IASCF', denominación sustituida en 2010 por Fundación IFRS; la guía para microentidades citada es de 2013, anterior a la tercera edición de 2025.</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Citar 'Fundación IFRS – IASB (2025). NIIF para las PYMES, tercera edición' y verificar la vigencia de la guía para microentidades.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complementaria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Predominan ediciones de 2001 a 2014 (Fowler Newton, Alcalá, KPMG, Barrientos, Hansen Holm), anteriores a la NIIF 9, la NIIF 15, la NIIF 16 y la NIIF 18 que se enseñan.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Sustituirlas por ediciones vigentes o indicar que son de consulta histórica.</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w:t>
        <w:tab/>
      </w:r>
      <w:r>
        <w:rPr>
          <w:rFonts w:ascii="Century Gothic" w:hAnsi="Century Gothic" w:cs="Century Gothic" w:eastAsia="Century Gothic"/>
          <w:b/>
          <w:i w:val="0"/>
          <w:sz w:val="24"/>
        </w:rPr>
        <w:t>Marcas de saber</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Tema 1: 'Medición y gestión en la era de la información. (P)'</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Contenido conceptual sin procedimiento; corresponde (C).</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Tema 2: 'Ética profesional en la preparación de la información financiera… (P, 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Ninguna evidencia ni rúbrica del E1 observa la conducta ética; (A) sin sustento observable y (P) sin procedimiento.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Tema 15: 'Depreciación, deterioro de valor y compensación por deterioro… (C)'</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cálculo de la depreciación y del deterioro es procedimental; falta (P).</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w:t>
        <w:tab/>
      </w:r>
      <w:r>
        <w:rPr>
          <w:rFonts w:ascii="Century Gothic" w:hAnsi="Century Gothic" w:cs="Century Gothic" w:eastAsia="Century Gothic"/>
          <w:b/>
          <w:i w:val="0"/>
          <w:sz w:val="24"/>
        </w:rPr>
        <w:t>Conocimientos circunstanciales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uso del valor razonable por las entidades supervisadas por la ASFI se dicta en CPA-303 Contabilidad de Bancos y Entidades Financieras.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Los coeficientes de depreciación del anexo del art. 22 del DS 24051 ya se dictan en CPA-203 Contabilidad de Tributos (Tema 7), y el régimen de importación de la Ley General de Aduanas en DER-201 Derecho Tributario y Legislación Aduanera.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E5,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Los beneficios sociales de la Ley General del Trabajo y su reglamento se dictan en DER-102 Derecho Laboral y Seguridad Social, y la facturación en línea del SIN en CPA-203.</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Resolución CTNAC 03/2020 y el boletín técnico sobre la reexpresión son normas contables nucleares del tema (NIC 29 y NC 3), no conocimientos circunstanciales.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4.5</w:t>
        <w:tab/>
      </w:r>
      <w:r>
        <w:rPr>
          <w:rFonts w:ascii="Century Gothic" w:hAnsi="Century Gothic" w:cs="Century Gothic" w:eastAsia="Century Gothic"/>
          <w:b/>
          <w:i w:val="0"/>
          <w:sz w:val="24"/>
        </w:rPr>
        <w:t>Otras observaciones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Actividades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cuadro de actividades tiene solo cuatro columnas (Autónomas, B-Learning, Taller, Investigación/Práctica); falta la columna 'En clase' que exige la guía.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y E5 frente a CPA-201</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NIIF 15 (cinco pasos), la NIIF 16 (derecho de uso), la NIC 36, la NIC 38 y las provisiones de beneficios sociales ya se evalúan en CPA-201 (Productos 20 a 24, 28, 32 y 38), por lo que se repiten entre ambas asignaturas.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Tema 1, y E3, Tema 6</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Ambos temas inician con el mismo contenido ('Las empresas y la contabilidad' / 'La empresa y la contabilidad').</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Estrategias de evaluación, sumativa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Incluye 'asistencia' como componente sumativo, mientras los criterios de calificación asignan el 100 % a los productos.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Valoración</w:t>
      </w:r>
    </w:p>
    <w:p>
      <w:pPr>
        <w:spacing w:before="0" w:after="200" w:line="240" w:lineRule="auto"/>
        <w:jc w:val="both"/>
      </w:pPr>
      <w:r>
        <w:rPr>
          <w:rFonts w:ascii="Century Gothic" w:hAnsi="Century Gothic" w:cs="Century Gothic" w:eastAsia="Century Gothic"/>
          <w:b w:val="0"/>
          <w:i w:val="0"/>
          <w:sz w:val="20"/>
        </w:rPr>
        <w:t>Itinerario técnicamente actualizado (NIIF 18, NIIF S1 y S2, NIIF para las PYMES 2025, contexto boliviano de inflación y tipo de cambio) y con rúbricas propias de cada producto. Lo debilitan evidencias cruzadas entre criterios en E2, E4 y E6, algunos errores normativos (valor de uso en la NIC 16, reconocimiento de contingencias), la falta de la columna 'En clase', la carga horaria llenada y desglosada, y la repetición con CPA-201 de varias NIIF.</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