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CPA-302 Contabilidad de Costos y Gestión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Costos y Gestión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CPA-302 Contabilidad de Costos y Gestión.docx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estandares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estándares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evalua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evalúa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deciones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decisiones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empresa de industrial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empresa industrial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 la gestora publica de la seguridad social de Corto y Largo Plazo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 la Gestora Pública de la Seguridad Social de Corto y Largo Plazo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Salario mínimo nacional, de como costo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Salario mínimo nacional como costo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impuesto sobre las Utilidades de las Empresas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Impuesto sobre las Utilidades de las Empresas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aplicados por empresas industrial y de servicios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aplicados por empresas industriales y de servicios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Sistemas de costos5 por procesos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Sistemas de costos por procesos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Times New Roman).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14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↔ elementos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inicia con 'Diseña e implementa el sistema integral de costos', pero ningún elemento, criterio ni producto pide diseñar o implementar un sistema; los elementos clasifican, aplican y elaboran el presupuesto.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el verbo de la unidad a lo que se evalúa (aplica y elabora) o añadir un producto de diseño del sistema de costos.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 de los cuatro elementos / Productos 8, 12 y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Ninguna evidencia indica la modalidad (en aula, en equipo, ante el curso); sin embargo, las rúbricas de los Productos 8 y 16 evalúan 'Trabajo en equipo' y la del Producto 12 'Sustentación oral'.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la modalidad a cada evidencia, en particular 'en equipo' en 2.2 del E2 y 2.2 del E4, y 'ante el curso' en 2.2 del E3.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(Tema 9, Costos estimados)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costos estimados y el coeficiente rectificador se desarrollan como tema completo, pero ni el enunciado del E4 ni sus criterios ni productos los evalúan.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Integrar los costos estimados en el criterio 1 o tratarlos como antecedente del costeo estándar.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enunciado frente a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enunciado no menciona el costeo variable, que el criterio 2 y el Producto 15 sí exigen.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Incorporar el costeo variable al enunciado del E4.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atribuyen a la 'gestora publica de la seguridad social de Corto y Largo Plazo' los aportes de corto plazo; la Gestora Pública administra solo el largo plazo (pensiones), y el corto plazo corresponde a las cajas de salud.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Separar los aportes a la Gestora Pública de la Seguridad Social de Largo Plazo y a las cajas de salud.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'Código Tributario de Bolivia, Ley N° 843'; la Ley 843 es la Ley de Reforma Tributaria y el Código Tributario es la Ley 2492 (citada a continuación).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'Ley N° 843 de Reforma Tributaria (texto ordenado vigente) y sus reglamentos'.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NIIF para las PYMES se cita en su edición de 2015 y atribuida a la 'IASCF', denominación sustituida por Fundación IFRS; existe la tercera edición de 2025.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'Fundación IFRS – IASB (2025). NIIF para las PYMES, tercera edición'.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(Tema 13)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'Asignación de costos indirectos con tasas generales y percutores': 'percutores' no es un término de costos; probablemente se quiso decir 'inductores'.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término.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Varias obras centrales están en ediciones antiguas (Polimeni 2003, Barfield 2005, Horngren 12.ª ed. de 2007, Hansen y Mowen 2007).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a las ediciones vigentes.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5: 'Tasa o cuota, acumulación y distribución primaria y secundaria de los costos indirectos.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 procedimiento de cálculo (Producto 4); corresponde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Temas 7 y 8: 'Costos de producción por el método promedio ponderado y por el método PEPS… (C)' y 'Contabilización de los productos o servicios conjuntos…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Calcular y contabilizar son procedimentales; marcados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Temas 12 y 14: 'Mezcla de productos… análisis de costo-volumen-utilidad con impuesto… (C)' y 'Presupuesto empresarial… confección del presupuesto…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Son contenidos de cálculo y elaboración; falta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1: 'Ética profesional en la información de costos… (C, A)' y 'Función del administrador de costos… normas del comportamiento ético. (C,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Ninguna evidencia ni rúbrica observa la conducta ética, por lo que (A) no tiene sustento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deducibilidad de costos y gastos en el IUE conforme al DS 24051 se dicta en CPA-203 Contabilidad de Tributos (Tema 7, gastos deducibles y no deducibles), y la planilla con aportes patronales en CPA-201 (E7).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alícuota del 25 % del IUE se dicta en CPA-203 Contabilidad de Tributos.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'Sistemas de costos por órdenes de trabajo y por procesos aplicados por empresas…' y 'Medición del costo de los inventarios y asignación de los costos indirectos… conforme a estándares nacionales y internacionales' son contenidos propios de la asignatura (y la NIC 2 se dicta en CPA-301), no conocimientos circunstanciales.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14 (Presupuesto maestro, presupuesto de capital y de efectivo)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presupuesto maestro y el presupuesto de capital se repiten en CPA-405 Finanzas Corporativas, que también evalúa un presupuesto maestro (Producto 7).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diferencias entre la contabilidad financiera y la administrativa repiten CPA-101 (E1, criterio 1, Producto 2).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aparece entre comillas, como cita, a diferencia de las demás asignaturas.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evaluación, sumativa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'asistencia' como componente sumativo, mientras los criterios de calificación asignan el 100 % a los productos.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sólido y bien encadenado en lo técnico, con rúbricas específicas, buen uso de hoja de cálculo e incorporación pertinente de economía circular, inflación y tipo de cambio. Lo debilitan la unidad que promete diseñar un sistema no evaluado, evidencias sin modalidad, varias marcas (C) en contenidos de cálculo, errores sobre la Gestora y la Ley 843, numerosos errores ortográficos en los conocimientos circunstanciales y la repetición del presupuesto maestro con CPA-405.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