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Informe de Correcciones y Observaciones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CPA-303 Contabilidad de Bancos y Entidades Financieras</w:t>
      </w:r>
    </w:p>
    <w:p>
      <w:pPr>
        <w:spacing w:before="0" w:after="240" w:line="240" w:lineRule="auto"/>
        <w:jc w:val="center"/>
      </w:pPr>
      <w:r>
        <w:rPr>
          <w:rFonts w:ascii="Century Gothic" w:hAnsi="Century Gothic" w:cs="Century Gothic" w:eastAsia="Century Gothic"/>
          <w:b w:val="0"/>
          <w:i/>
          <w:sz w:val="20"/>
        </w:rPr>
        <w:t>Punto 4.5 Planes de asignatura, Rediseño Curricular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1.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Datos de la asignatura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rPr>
          <w:tblHeader/>
        </w:trPr>
        <w:tc>
          <w:tcPr>
            <w:tcW w:type="dxa" w:w="283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Dato</w:t>
            </w:r>
          </w:p>
        </w:tc>
        <w:tc>
          <w:tcPr>
            <w:tcW w:type="dxa" w:w="6236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Sigla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CPA-303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Asignatura según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Contabilidad de Bancos y Entidades Financieras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Área del itinerario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Información Financiera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Año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3.° año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Carga horaria y créditos de la malla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 h/semana, 160 horas presenciales al año, 8 créditos y 240 horas de trabajo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recibido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CPA-303.docx</w:t>
            </w:r>
          </w:p>
        </w:tc>
      </w:tr>
      <w:tr>
        <w:tc>
          <w:tcPr>
            <w:tcW w:type="dxa" w:w="283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Archivo corregido y formateado</w:t>
            </w:r>
          </w:p>
        </w:tc>
        <w:tc>
          <w:tcPr>
            <w:tcW w:type="dxa" w:w="6236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4.5 Itinerarios formateados y corregidos / CPA-303 Contabilidad de Bancos y Entidades Financieras.docx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Correcciones aplicadas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corrigieron directamente, sin control de cambios, solo los errores imperdonables: ortografía, palabras repetidas o de más, espacios y puntuación, notas de trabajo y textos sobrantes. El resto del contenido se mantiene tal como lo redactaron los docentes.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Errores corregidos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402"/>
        <w:gridCol w:w="3402"/>
        <w:gridCol w:w="737"/>
      </w:tblGrid>
      <w:tr>
        <w:trPr>
          <w:tblHeader/>
        </w:trPr>
        <w:tc>
          <w:tcPr>
            <w:tcW w:type="dxa" w:w="181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Texto original</w:t>
            </w:r>
          </w:p>
        </w:tc>
        <w:tc>
          <w:tcPr>
            <w:tcW w:type="dxa" w:w="34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Corrección</w:t>
            </w:r>
          </w:p>
        </w:tc>
        <w:tc>
          <w:tcPr>
            <w:tcW w:type="dxa" w:w="73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Veces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Desarrolla en equipo aula prácticas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Desarrolla en equipo, en aula, prácticas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cálculo de el encaje legal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cálculo del encaje legal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cálculo de el excedente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cálculo del excedente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concepto del sistema financiero (C)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concepto del sistema financiero. (C)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Clasificación de las entidades (C)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Clasificación de las entidades. (C)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en cuentas corrientes, en caja de ahorros, calculando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en cuentas corrientes y en caja de ahorros, calculando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en cajas de ahorro, a plazo fijo y calcula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en cajas de ahorro y a plazo fijo, y calcula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para la elaboración de Estados Financieros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para la elaboración de estados financieros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  <w:tr>
        <w:tc>
          <w:tcPr>
            <w:tcW w:type="dxa" w:w="181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de los Bancos y las Entidades Financieras</w:t>
            </w:r>
          </w:p>
        </w:tc>
        <w:tc>
          <w:tcPr>
            <w:tcW w:type="dxa" w:w="34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de los bancos y las entidades financieras</w:t>
            </w:r>
          </w:p>
        </w:tc>
        <w:tc>
          <w:tcPr>
            <w:tcW w:type="dxa" w:w="73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Carga horaria y créditos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registraron las horas y los créditos de la malla curricular con créditos: 160 horas presenciales (HP) y un total de 240 horas de trabajo, que equivalen a 8 créditos de 30 horas. La diferencia entre el total y las horas presenciales se repartió entre HAA, HTG, HIP y HE en proporción a lo que había registrado el itinerario.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077"/>
        <w:gridCol w:w="1077"/>
        <w:gridCol w:w="1077"/>
        <w:gridCol w:w="1077"/>
        <w:gridCol w:w="1077"/>
        <w:gridCol w:w="1077"/>
        <w:gridCol w:w="1077"/>
      </w:tblGrid>
      <w:tr>
        <w:trPr>
          <w:tblHeader/>
        </w:trPr>
        <w:tc>
          <w:tcPr>
            <w:tcW w:type="dxa" w:w="147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Versión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HAA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HTG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HIP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HE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TOTAL</w:t>
            </w:r>
          </w:p>
        </w:tc>
        <w:tc>
          <w:tcPr>
            <w:tcW w:type="dxa" w:w="107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8"/>
              </w:rPr>
              <w:t>Créditos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Recibida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32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240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–</w:t>
            </w:r>
          </w:p>
        </w:tc>
      </w:tr>
      <w:tr>
        <w:tc>
          <w:tcPr>
            <w:tcW w:type="dxa" w:w="147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sz w:val="18"/>
              </w:rPr>
              <w:t>Corregida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32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240</w:t>
            </w:r>
          </w:p>
        </w:tc>
        <w:tc>
          <w:tcPr>
            <w:tcW w:type="dxa" w:w="107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8"/>
              </w:rPr>
              <w:t>8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2.3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Formato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Fuente Century Gothic en todo el documento.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Hoja carta con márgenes de 3 cm arriba y a la izquierda y de 2 cm a la derecha y abajo; encabezado institucional con los logos de la UMSA y de la Carrera, y número de página.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Tablas al ancho de la página, con rótulos en azul y letra blanca en negrita, cuerpo en azul claro y bordes azules.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Viñetas cuadradas e interlineado sencillo.</w:t>
      </w:r>
    </w:p>
    <w:p>
      <w:pPr>
        <w:numPr>
          <w:ilvl w:val="0"/>
          <w:numId w:val="901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Se quitó el texto en color (4 fragmentos).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3.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Resultado de la matriz de cumplimiento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Con las correcciones aplicadas, el itinerario cumple 15 de los 21 controles, cumple en parte 2 y no cumple 4.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154"/>
        <w:gridCol w:w="1247"/>
        <w:gridCol w:w="5102"/>
      </w:tblGrid>
      <w:tr>
        <w:trPr>
          <w:tblHeader/>
        </w:trPr>
        <w:tc>
          <w:tcPr>
            <w:tcW w:type="dxa" w:w="85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Código</w:t>
            </w:r>
          </w:p>
        </w:tc>
        <w:tc>
          <w:tcPr>
            <w:tcW w:type="dxa" w:w="215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Control</w:t>
            </w:r>
          </w:p>
        </w:tc>
        <w:tc>
          <w:tcPr>
            <w:tcW w:type="dxa" w:w="124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Resultado</w:t>
            </w:r>
          </w:p>
        </w:tc>
        <w:tc>
          <w:tcPr>
            <w:tcW w:type="dxa" w:w="510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Datos generales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Carga horaria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Créditos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Unidad de competencia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sin procesos en gerundio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Elementos y capítulos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Número de elementos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Dos criterios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desempeño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Parcial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E4: 4 evidencias, sin numeración completa (numeración 1.2, 2.2)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Evidencias de producto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E4: 2 productos; numeración de productos no correlativa: 1, 2, 3, 4, 5, 6, 7, 8, 9, 10, 11, 12, 14, 16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Marcas C, P, A,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25 de 113 contenidos sin marca C, P, A o T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Saberes A y T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C12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Circunstanciales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C13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Actividades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C14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Rótulo de estrategias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C15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Tipos de evaluación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C16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Rúbricas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16 rúbricas para 14 productos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C17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Pesos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C18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Bibliografía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C19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Expresiones a evitar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No 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expresiones a evitar: «mediante» (4)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C20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Criterios de calificación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C21</w:t>
            </w:r>
          </w:p>
        </w:tc>
        <w:tc>
          <w:tcPr>
            <w:tcW w:type="dxa" w:w="215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Redacción de enunciados</w:t>
            </w:r>
          </w:p>
        </w:tc>
        <w:tc>
          <w:tcPr>
            <w:tcW w:type="dxa" w:w="1247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Cumple</w:t>
            </w:r>
          </w:p>
        </w:tc>
        <w:tc>
          <w:tcPr>
            <w:tcW w:type="dxa" w:w="510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–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Observaciones que se mantienen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Estas observaciones no se corrigieron porque tocan el contenido que redactaron los docentes. Quedan para que la comisión las evalúe.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4.1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Coherencia de la cadena de competencia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E4, criterio 2, evidencia 2.2 / Producto 16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criterio 2 trata de las entidades de leasing y las entidades auxiliares, pero la evidencia 2.2 y el Producto 16 piden calcular indicadores de solvencia, liquidez y calidad de cartera y un diagnóstico financiero de un banco; ningún contenido del Elemento 4 sustenta esos indicadores.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Sustituir la evidencia 2.2 por el caso de leasing (que hoy está en 1.2) o, si se mantiene el diagnóstico, añadir contenidos de indicadores financieros y reubicarlo en un criterio que lo exija.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E4, criterio 1, evidencia 1.2 / Producto 14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El criterio 1 es del mercado de valores, pero la evidencia 1.2 incluye además el registro de un contrato de leasing frente al crédito bancario según la NIIF 16, que corresponde al criterio 2.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Limitar la evidencia 1.2 a agentes de bolsa y SAFI y llevar el leasing al criterio 2.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E4, Productos 14 y 16 (matriz) frente a sus rúbricas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Los nombres no coinciden: en la matriz el Producto 14 es un esquema con asientos de leasing y el Producto 16 un tablero de indicadores; en las rúbricas el Producto 14 es un esquema del mercado de valores y el Producto 16 un caso de leasing, de modo que el tablero de indicadores no tiene rúbrica.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Unificar el nombre de cada producto entre la matriz y la rúbrica y ajustar los criterios de la rúbrica al producto definitivo.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E2, contenidos de los Temas 7 a 10 / Productos 5 a 8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Los cuatro productos son registros y cálculos (movimiento contable, intereses, encaje), pero casi todos los contenidos que los sustentan, incluidos 'movimiento contable; casos prácticos' y 'Cómputo del encaje legal', están marcados solo (C).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Marcar (C, P) los contenidos de registro, cálculo y casos prácticos.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4.2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Aspectos técnicos y normativos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E4, Tema 25 y Producto 15; actividades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'Entidades auxiliares financieras' es la denominación de la abrogada Ley de Bancos y Entidades Financieras (Ley 1488); la Ley 393 de Servicios Financieros denomina a factoraje, almacenes generales de depósito, burós de información, transporte de material monetario y arrendamiento financiero 'empresas de servicios financieros complementarios'.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Usar la denominación de la Ley 393 en el elemento, el tema, el contenido y el producto.</w:t>
            </w: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Marcas de saber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Tema 6, contenidos 1, 4 y 5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Llevan (T) la automatización de la cámara, la lectura electrónica de cheques y los sistemas de pago, que solo describen la tecnología sin que el estudiante opere una herramienta.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E4, Temas 22, 23 y 25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Llevan (C, A) contenidos puramente descriptivos (concepto de agentes de bolsa, mercado de valores y operatoria contable, fondos de inversión, concepto de entidades auxiliares) sin conducta observable; la operatoria contable de agentes de bolsa además carece de (P).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Tema 17, contenido 2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'Cálculo y registro de los intereses vencidos y de los intereses penales' lleva (T) sin mencionar ninguna herramienta que se opere.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Tema 6, último contenido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prevención de la legitimación de ganancias ilícitas (debida diligencia, reporte de operaciones sospechosas), que la unidad de competencia destaca como condición de calidad, solo lleva (P); es el contenido donde cabe una conducta observable (A).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4.4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Conocimientos circunstanciales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E4, conocimientos circunstanciales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'Nociones del contrato de arrendamiento financiero (leasing)' ya figura como conocimiento circunstancial en CPA-201 Contabilidad Intermedia, y los contratos comerciales y títulos valores (factoraje, títulos representativos de mercaderías) se dictan en DER-101 Derecho Comercial y Corporativo.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conocimientos circunstanciales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'Nociones del proceso de solicitud, evaluación y aprobación del crédito' se superpone con el contenido del Tema 15 'Evaluación de la capacidad de pago y responsabilidad en el otorgamiento del crédito'.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4.5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Otras observaciones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195"/>
        <w:gridCol w:w="3288"/>
      </w:tblGrid>
      <w:tr>
        <w:trPr>
          <w:tblHeader/>
        </w:trPr>
        <w:tc>
          <w:tcPr>
            <w:tcW w:type="dxa" w:w="187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4195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28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entury Gothic" w:hAnsi="Century Gothic" w:cs="Century Gothic" w:eastAsia="Century Gothic"/>
                <w:b/>
                <w:i w:val="0"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E3, Temas 12 a 19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Los títulos de los temas no corresponden a los contenidos listados bajo ellos: el Tema 12 'Régimen de Previsiones de Cartera' contiene créditos empresariales y PYME, el Tema 13 'Adelantos en Cuentas Corrientes' contiene vivienda y consumo, el Tema 15 'Préstamos a Plazo Fijo' contiene garantías y calificación de cartera, el Tema 17 'Tarjetas de Crédito' contiene cartera vencida y el Tema 19 'Cartera en Mora' contiene cartera en ejecución.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E4, contenidos del Tema 21 y Tema 24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clasificación y medición de activos financieros según la NIIF 9 y el arrendamiento según la NIIF 16 se dictan ya en CPA-201 Contabilidad Intermedia (NIIF 9, arrendamiento financiero) y CPA-301 Contabilidad Internacional (Tema 20 NIIF 16).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Estrategias de evaluación frente a Criterios de calificación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evaluación sumativa incluye controles de lectura y asistencia, exámenes parciales y examen final, pero los criterios de calificación dicen que la nota final es la suma ponderada de los 16 productos; no se indica cómo se integran esas otras evaluaciones.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E4, encabezado de la matriz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La fila de encabezado dice 'Criterios de desempeño' en las tres columnas y las filas de las evidencias 1.1 y 2.1 repiten el texto del criterio, por lo que faltan esas evidencias y los Productos 13 y 15 en la matriz (sí tienen rúbrica).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Recursos para el aprendizaje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Se repiten el Manual de Cuentas con la Recopilación de Normas de la ASFI y la hoja de cálculo.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  <w:tr>
        <w:tc>
          <w:tcPr>
            <w:tcW w:type="dxa" w:w="1871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E1, Tema 4, contenido 3</w:t>
            </w:r>
          </w:p>
        </w:tc>
        <w:tc>
          <w:tcPr>
            <w:tcW w:type="dxa" w:w="4195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rFonts w:ascii="Century Gothic" w:hAnsi="Century Gothic" w:cs="Century Gothic" w:eastAsia="Century Gothic"/>
                <w:b w:val="0"/>
                <w:i w:val="0"/>
                <w:sz w:val="16"/>
              </w:rPr>
              <w:t>'Terminología financiera en inglés' está bajo el tema de constitución de bancos, con el que no guarda relación.</w:t>
            </w:r>
          </w:p>
        </w:tc>
        <w:tc>
          <w:tcPr>
            <w:tcW w:type="dxa" w:w="3288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top"/>
          </w:tcPr>
          <w:p>
            <w:pPr>
              <w:spacing w:before="0" w:after="0" w:line="240" w:lineRule="auto"/>
              <w:jc w:val="both"/>
            </w:pPr>
          </w:p>
        </w:tc>
      </w:tr>
    </w:tbl>
    <w:p>
      <w:pPr>
        <w:spacing w:before="0" w:after="120" w:line="240" w:lineRule="auto"/>
        <w:jc w:val="left"/>
      </w:pP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5.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Valoración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Itinerario técnicamente sólido en las operaciones bancarias de los Elementos 1 a 3, con rúbricas propias de cada producto y pesos coherentes. Los problemas se concentran en el Elemento 4, cuya matriz está incompleta y cuyos productos no coinciden con sus rúbricas, en títulos de tema que no corresponden a sus contenidos y en una terminología de entidades auxiliares previa a la Ley 393.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0">
    <w:multiLevelType w:val="hybridMultilevel"/>
    <w:lvl w:ilvl="0">
      <w:start w:val="1"/>
      <w:numFmt w:val="bullet"/>
      <w:lvlText w:val="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</w:abstractNum>
  <w:abstractNum w:abstractNumId="901">
    <w:multiLevelType w:val="hybridMultilevel"/>
    <w:lvl w:ilvl="0">
      <w:start w:val="1"/>
      <w:numFmt w:val="lowerLetter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bullet"/>
      <w:lvlText w:val=""/>
      <w:lvlJc w:val="left"/>
      <w:pPr>
        <w:ind w:left="720" w:hanging="357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–"/>
      <w:lvlJc w:val="left"/>
      <w:pPr>
        <w:ind w:left="1077" w:hanging="283"/>
      </w:pPr>
      <w:rPr>
        <w:rFonts w:ascii="Century Gothic" w:hAnsi="Century Gothic" w:cs="Century Gothic" w:hint="default"/>
        <w:sz w:val="20"/>
      </w:rPr>
    </w:lvl>
  </w:abstractNum>
  <w:abstractNum w:abstractNumId="902">
    <w:multiLevelType w:val="hybridMultilevel"/>
    <w:lvl w:ilvl="0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>
      <w:start w:val="1"/>
      <w:numFmt w:val="bullet"/>
      <w:lvlText w:val=""/>
      <w:lvlJc w:val="left"/>
      <w:pPr>
        <w:ind w:left="1077" w:hanging="283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1">
    <w:abstractNumId w:val="9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entury Gothic" w:hAnsi="Century Gothic" w:cs="Century Gothic" w:eastAsia="Century Gothic"/>
      <w:sz w:val="20"/>
      <w:lang w:val="es-BO" w:eastAsia="es-B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