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CPA-403 Contabilidad de Seguros: Privado y Social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CPA-403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Seguros: Privado y Social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CPA-403.docx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CPA-403 Contabilidad de Seguros Privado y Social.docx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TEMAS 3: Clasificación de los Seguros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TEMA 3: Clasificación de los Seguros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12: I Informe de análisis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12: Informe de análisis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Mapa conceptual y descriptiva de la estructura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Mapa conceptual y descriptivo de la estructura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Límites de Inversión para Compañías Aseguradoras (C, P, 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Límites de inversión para compañías aseguradoras. (C, P,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correctamente las Operaciones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correctamente las operaciones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con Precisión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con precisión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Consideraciones Generales NIIF 17 Contratos de Seguros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Consideraciones generales de la NIIF 17 Contratos de Seguro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«2.  Expone las características, diferenciando las …»; «Producto 1: Mapa conceptual que integra los fundam…»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5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Century Gothic).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17 de los 21 controles, cumple en parte 1 y no cumple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boliviano; 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E1: 4 evidencias, sin numeración completa (numeración 2.1, 2.2); E2: 4 evidencias, sin numeración completa (numeración 2.1, 2.2); E3: 4 evidencias, sin numeración completa (numeración 2.1, 2.2)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13 de 55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17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criterios 1 y 2 / Productos 9 a 12 frente a los Temas 10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3 pesa 35 % y sus productos exigen analizar prestaciones de vejez, invalidez, muerte, salud y riesgos profesionales, financiamiento y destino de aportes, pero los contenidos se reducen a seis enunciados generales (antecedentes, concepto, diferencias, prestaciones 'concepto y clases', sistema contable-financiero) sin la Ley 065, el Sistema Integral de Pensiones, la Gestora ni el régimen de corto plazo.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Desarrollar contenidos de financiamiento, prestaciones y registro contable de los entes gestores de corto y largo plazo, con su normativa.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4 a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Muchos niveles son genéricos y el Destacado no añade valor ('Calcula mal / Calcula correctamente / Determina con precisión los cálculos'; 'Presenta errores / Aplica correctamente / Aplica con precisión'; 'Estructura adecuada / Estructura correctamente'), contra lo que pide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descriptores propios de cada producto y un Destacado que analice, justifique o verifique.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11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Producto 11 (mapa conceptual) copia en su criterio 2 'Revela la información en aplicación a las normas' de la rúbrica de estados financieros, y la del Producto 12 copia íntegra la del Producto 10, aunque el 12 es un análisis contable-financiero de una entidad de corto plazo.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criterios propios: para el 11, instituciones y aportes de corto plazo; para el 12, análisis de los estados financieros del ente gestor.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 / Producto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una matriz de identificación de cuentas, pero su rúbrica evalúa el 'Registro contable' y el desarrollo del 'ciclo contable', que corresponden al Producto 6.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ese criterio por uno sobre la correspondencia entre cada operación y su cuenta del plan único.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Productos 3 y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'Aplicación técnica y contable del Coaseguro/Reaseguro' nombra una acción y no un documento; las rúbricas hablan además de 'Presenta el Informe', que el producto no menciona.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producto, por ejemplo, 'Planilla de distribución del riesgo y asientos del coaseguro activo y pasivo'.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4, último contenido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'Impuesto a las Operaciones de Reaseguro' no es un tributo vigente con ese nombre; las primas cedidas a reaseguradores del exterior están alcanzadas por el IUE a beneficiarios del exterior.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'Tratamiento tributario de las primas de reaseguro cedidas al exterior (IUE beneficiarios del exterior)' o verificar la norma que se pretende citar.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la Ley 1732 de Pensiones (1996), sustituida por la Ley 065 de 2010, y la Ley 1488 de Bancos, abrogada y ajena a la asignatura; la mayoría de los textos son de 1961 a 1981 (Arce 1977 cita a la Superintendencia Nacional de Seguros y Reaseguros, hoy APS).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o señalar como históricas las leyes abrogadas y priorizar textos y normativa vigentes de la APS y la NIIF 17.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'Viviante, C.' corresponde a Cesare Vivante, autor del tratado de derecho mercantil.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apellido del autor.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un contenido lleva (A) y uno (T), y en ambos sin sustento: 'Características y Principios del Contrato de Seguro (C, P, A)' no describe conducta, y 'Límites de Inversión para Compañías Aseguradoras (C, P, T)' no opera herramienta alguna; la unidad de competencia exige ética profesional.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del elemento de seguridad social son casi todos (C), aunque los Productos 10 y 12 son análisis y liquidaciones de prestaciones.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y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prestaciones del seguro social de corto plazo y del Sistema Integral de Pensiones (vejez, invalidez, muerte, aportes, Gestora Pública) se dictan en DER-102 Derecho Laboral y Seguridad Social; el conocimiento circunstancial sobre registro y contabilización de aportes y prestaciones es contenido central de la asignatura, no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'Determinación del patrimonio técnico requerido y respaldo patrimonial' es contenido del propio Tema 6 (margen de solvencia y patrimonio técnico).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'Elementos reales y formales del contrato de seguro' repite el contenido del Tema 2 'El Contrato del Seguro'.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Productos 12 y 7 (matriz frente a rúbrica)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12 se llama 'Informe de análisis de casos prácticos de aplicación del Seguro Social a Corto Plazo' en la matriz y 'Informe contable-financiero de Seguridad Social de Corto Plazo' en la rúbrica; el Producto 7 queda truncado en la rúbrica ('...determinación de Reservas').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 3 (nivel de los verbos)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cuarto año, el elemento y sus dos criterios se quedan en 'Describe' e 'Identifica'.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Mencionan 'casos prácticos (Buro)' sin explicar la sigla, y exámenes parciales y final que no figuran en la calificación por productos.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 y recursos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columna B-Learning y los recursos citan 'Herramientas Digitales UMSA' en lugar de la plataforma Moodle UMSA que fija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segunda evidencia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«Registra en equipo contablemente las operaciones»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«Registra contablemente en equipo las operaciones»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Estructura completa y pesos correctos, con un núcleo técnico sólido en seguro privado (coaseguro, reaseguro, reservas, margen de solvencia, NIIF 17). Lo debilitan rúbricas genéricas o copiadas, un elemento de seguridad social con contenidos mínimos que además repite DER-102, una bibliografía muy antigua con leyes abrogadas y la casi ausencia de contenidos actitudinales y tecnológicos.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