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CPA-405 Finanzas Corporativas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CPA-405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Finanzas Corporativas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7 créditos y 210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CPA-405.docx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CPA-405 Finanzas Corporativas.docx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CPA-406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CPA-405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análisis situacional financiera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análisis situacional financiero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los métodos horizontal, vertical, de razones financieras, considerando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 los métodos horizontal, vertical y de razones financieras, considerando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por inflación y variación tipo de cambio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por inflación y variación del tipo de cambio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Modelo de análisis horizontal, vertical, de razones financieras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Modelo de análisis horizontal, vertical y de razones financieras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 proyección de ventas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Elabora la proyección de ventas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210 horas de trabajo, que equivalen a 7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210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7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19 de los 21 controles, cumple en parte 2 y no cumple 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4 de 9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criterio 2, evidencia 2.1 / rúbrica del Producto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rúbrica evalúa 'Grados de apalancamiento' (operativo, financiero, total y punto de indiferencia), que no figuran en el criterio, en la evidencia 2.1 ni en el nombre del producto; el Tema 3 de apalancamiento queda así evaluado de forma implícita.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el apalancamiento en el criterio 2 y en la evidencia 2.1, o trasladar ese criterio de rúbrica al Producto 19 de estructura de capital.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1, evidencia 1.1 / Producto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pide estimar las ventas con series de tiempo y regresiones, pero la evidencia 1.1 'Elabora la situación financiera de la empresa con sus objetivos y estrategias' y su informe de análisis situacional no estiman ventas; solo la evidencia 1.2 responde al criterio.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Redactar el criterio 1 en dos partes (análisis situacional y estimación de ventas) o reformular la evidencia 1.1 como 'Analiza la situación interna y externa de la empresa como base del pronóstico'.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1, evidencia 1.2 / Producto 10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es analizar una política de crédito con análisis marginal y sustentar una recomendación, pero el producto es la política de crédito redactada; la rúbrica evalúa ambos.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 'Informe de análisis marginal y propuesta de política de crédito'.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criterio 1 / Producto 21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llama 'cuadro de mando integral' a un tablero de inteligencia de negocios con datos depurados; el cuadro de mando integral (Kaplan y Norton) es un sistema de gestión estratégica de cuatro perspectivas, no un tablero financiero, y la rúbrica no evalúa esas perspectivas.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Nombrar el producto 'Tablero de control financiero' o incorporar las cuatro perspectivas del cuadro de mando integral.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Toda la asignatura (Temas 2, 3, 10, 11, 14, 15, 16 y 18)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gran mayoría de los contenidos lleva solo (C) aunque son cálculos que los productos exigen: 'Razones financieras', 'Apalancamiento operativo', 'Valuación de bonos', 'Valor presente neto, VAN', 'Costo de capital promedio ponderado', 'Cantidad económica del pedido', 'Aplicaciones prácticas'.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11, contenido 12; Tema 12, contenido 15; Tema 14, contenidos 27 y 30; E1, Tema 1, contenido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(C, A) contenidos sin conducta observable: 'Progresiones aritméticas y geométricas', 'Mercado de valores y bolsa de valores', 'Colocación de los valores', bonos verdes y el mercado de valores en Bolivia.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Tema 19, contenido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'Herramientas tecnológicas de inteligencia de negocios (C, T)' solo enumera herramientas; la operación real está en el contenido 4, marcado solo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'Convenciones de cómputo de días y de año comercial en las operaciones financieras' se dicta en MAT-102 Matemáticas Financieras; 'Lectura de las hojas de cotización y de los boletines diarios de la bolsa de valores' repite un conocimiento circunstancial de CPA-303.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E3 y 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misma lista se repite idéntica en cada tema del elemento (tres veces en E1, cuatro en E3 y siete en E4), sin relación específica con cada tema.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Temas 10 y 11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Valor futuro y actual, anualidades vencidas y generales, series combinadas y progresiones aritméticas y geométricas repiten MAT-102 Matemáticas Financieras (Tema 3 Rentas o anualidades).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 y Temas 15 y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evaluación de proyectos con VAN, TIR, periodo de recuperación y sensibilidad repite ECO-301 Preparación y Evaluación de Proyectos (tercer año); conviene centrarse en el presupuesto de capital y el costo de capital corporativo.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criterio 2 y Tema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presupuesto maestro se dicta en CPA-302 Contabilidad de Costos y Gestión (Elemento 4), prerrequisito de la asignatura; las series de tiempo y regresiones, en MAT-301 Estadística.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1 y E4, Temas 12 y 14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mercado de valores boliviano, sus participantes y los bonos verdes, sociales y sostenibles se repiten con el Elemento 4 de CPA-303 Contabilidad de Bancos y Entidades Financieras.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1, contenidos 9 a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'Aspectos legales', 'Estructuración de la emisión', 'Registro e inscripción' y 'La empresa en Bolivia' son enunciados sin objeto claro y la emisión de valores no corresponde a los fundamentos del Tema 1 (se trata en el Tema 14).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Distribución de la calificación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Elemento 4 concentra 41 % de la nota y el Elemento 6, solo 6 % (Productos 23 y 24 con 1 % cada uno), lo que deja las finanzas internacionales casi sin peso pese a figurar en la unidad de competencia.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completo, con rúbricas propias y exigentes y buena progresión desde el diagnóstico hasta la valoración de empresas. Sus principales debilidades son el marcado casi exclusivo en (C) de contenidos de cálculo, (A) sin sustento y la repetición de contenidos de MAT-102, ECO-301, CPA-302 y CPA-303; conviene también reequilibrar el peso del Elemento 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