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CPA-406 Ética e Independencia Profesional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CPA-406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Ética e Independencia Profesional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Aseguramiento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 h/semana, 80 horas presenciales al año, 5 créditos y 150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CPA-406.docx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CPA-406 Ética e Independencia Profesional.docx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y espacios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ctuariales. (C, 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ctuariales. (C, A)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conforme a las normas de auditoría..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conforme a las normas de auditoría.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ámbitos de actuación del profesional..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ámbitos de actuación del profesional.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1.Independencia de hecho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1. Independencia de hecho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ambientales, sociales o actuariales. (C, 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ambientales, sociales o actuariales. (C, A)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en casos de entidades reales..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en casos de entidades reales.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Párrafo pegado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contenidos pegados en un solo párrafo («… vías de respuesta del profesional. (C, P)El papel de la ética…»)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separó en dos párrafos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80 horas presenciales (HP) y un total de 150 horas de trabajo, que equivalen a 5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150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5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19 de los 21 controles, cumple en parte 2 y no cumple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 de 65 contenidos sin marca C, P, A o T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 de 10 referencias básicas anteriores a 2016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criterio 1, evidencia 1.1 / Producto 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1.1 es el análisis de la decisión de un socio con las corrientes aristotélica, kantiana y utilitarista, pero el Producto 1 es un esquema de la relación entre ética, moral y axiología; su rúbrica evalúa además la vocación y la participación en un debate que la evidencia no prevé.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Cambiar el Producto 1 por el análisis escrito del caso con las tres corrientes y ajustar la rúbrica a ese análisis, o reescribir la evidencia 1.1 para que produzca el esquema.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criterio 2, evidencia 2.1 / rúbrica del Producto 19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2.1 trata de amenazas por relaciones de negocios con un cliente de aseguramiento, pero la rúbrica del Producto 19 evalúa la información de sostenibilidad y la objetividad del experto externo, que la evidencia no aborda.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Incluir la sostenibilidad o el experto externo en la evidencia 2.1, o sustituir ese criterio de la rúbrica por uno propio de las relaciones de negocios.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criterio 2, evidencia 2.2 / Producto 8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es una argumentación oral ante el curso y el producto es un informe escrito; la rúbrica evalúa la claridad de la sustentación, no el informe.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Precisar en la evidencia que se elabora y sustenta un informe, o cambiar el criterio de sustentación por uno sobre el contenido del informe.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contenido 2 (partes del Código)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enumeran las Partes 1 a 4-B, pero las normas de ética para el aseguramiento de sostenibilidad del IESBA (2025), citadas en el contenido 4 y en la bibliografía, se incorporaron al Código como una parte adicional sobre sostenibilidad.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Añadir al contenido 2 la parte del Código relativa al aseguramiento de sostenibilidad y a su independencia.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básica, IAASB (2025)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cita el 'Handbook of International Quality Control...'; desde la edición 2022 el título es 'Handbook of International Quality Management, Auditing, Review, Other Assurance, and Related Services Pronouncements'.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Actualizar el título a 'Quality Management'.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contenido 9; E2, contenido 17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Llevan (T) pero tratan del uso responsable de herramientas y de la conducta ética con datos, sin exigir operar una herramienta concreta.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contenidos 4, 6 y 10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Llevan (C, A) pero solo describen requisitos normativos (rotación y enfriamiento, servicios de sostenibilidad, independencia en sostenibilidad) sin una conducta observable; además carecen de (P) aunque se aplican en los Productos 17 a 19.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'Corrientes de la filosofía moral: ética aristotélica, deontología kantiana y utilitarismo' repite el contenido 5 del mismo elemento; no es un conocimiento circunstancial.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conocimientos circunstanciales y contenido 11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'Tipologías de corrupción y de fraude' y la prevención de la legitimación de ganancias ilícitas se dictan en CPA-508 Auditoría Forense, Peritaje y Prevención de Delitos Económicos.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contenido 21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contenido «El papel de la ética en la práctica contable…» estaba pegado al contenido 21 y se separó en su propio párrafo; queda sin número y repite el contenido 18 del mismo elemento.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Numerarlo o retirarlo por repetido.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 y E4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presión del cliente o del empleador para presentar información engañosa se trata en E2 (contenido 21, criterio 2) y otra vez en E4 (contenido 5, Producto 14).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 cadena está bien construida y la normativa del IESBA está actualizada (planificación fiscal, tecnología, sostenibilidad y experto externo). Debe corregir la desconexión entre la evidencia 1.1 y el Producto 1. Además, la marca (A) se usa en contenidos solo descriptivos.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