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Informe de Correcciones y Observaciones</w:t>
      </w:r>
    </w:p>
    <w:p>
      <w:pPr>
        <w:spacing w:before="0" w:after="360" w:line="240" w:lineRule="auto"/>
        <w:jc w:val="center"/>
      </w:pPr>
      <w:r>
        <w:rPr>
          <w:rFonts w:ascii="Century Gothic" w:hAnsi="Century Gothic" w:cs="Century Gothic" w:eastAsia="Century Gothic"/>
          <w:b/>
          <w:i w:val="0"/>
          <w:sz w:val="28"/>
        </w:rPr>
        <w:t>CPA-506 Reportes y Aseguramiento de Sostenibilidad y Auditoría Ambiental</w:t>
      </w:r>
    </w:p>
    <w:p>
      <w:pPr>
        <w:spacing w:before="0" w:after="240" w:line="240" w:lineRule="auto"/>
        <w:jc w:val="center"/>
      </w:pPr>
      <w:r>
        <w:rPr>
          <w:rFonts w:ascii="Century Gothic" w:hAnsi="Century Gothic" w:cs="Century Gothic" w:eastAsia="Century Gothic"/>
          <w:b w:val="0"/>
          <w:i/>
          <w:sz w:val="20"/>
        </w:rPr>
        <w:t>Punto 4.5 Planes de asignatura, Rediseño Curricular</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1.</w:t>
        <w:tab/>
      </w:r>
      <w:r>
        <w:rPr>
          <w:rFonts w:ascii="Century Gothic" w:hAnsi="Century Gothic" w:cs="Century Gothic" w:eastAsia="Century Gothic"/>
          <w:b/>
          <w:i w:val="0"/>
          <w:sz w:val="24"/>
        </w:rPr>
        <w:t>Datos de la asignatura</w:t>
      </w:r>
    </w:p>
    <w:tbl>
      <w:tblPr>
        <w:tblW w:type="auto" w:w="0"/>
        <w:jc w:val="center"/>
        <w:tblLayout w:type="fixed"/>
        <w:tblLook w:firstColumn="1" w:firstRow="1" w:lastColumn="0" w:lastRow="0" w:noHBand="0" w:noVBand="1" w:val="04A0"/>
      </w:tblPr>
      <w:tblGrid>
        <w:gridCol w:w="2835"/>
        <w:gridCol w:w="6236"/>
      </w:tblGrid>
      <w:tr>
        <w:trPr>
          <w:tblHeader/>
        </w:trPr>
        <w:tc>
          <w:tcPr>
            <w:tcW w:type="dxa" w:w="28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Dato</w:t>
            </w:r>
          </w:p>
        </w:tc>
        <w:tc>
          <w:tcPr>
            <w:tcW w:type="dxa" w:w="623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Detalle</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Sigla</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CPA-506</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Asignatura según la malla</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Reportes y Aseguramiento de Sostenibilidad y Auditoría Ambiental</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Asignatura según el itinerario</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Reporte y Aseguramiento de Sostenibilidad y Auditoría Ambiental</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Área del itinerario</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Aseguramiento</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Año</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5.° año</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Carga horaria y créditos de la malla</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2 h/semana, 80 horas presenciales al año, 4 créditos y 120 horas de trabajo</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Archivo recibido</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CPA-506.docx</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Archivo corregido y formateado</w:t>
            </w:r>
          </w:p>
        </w:tc>
        <w:tc>
          <w:tcPr>
            <w:tcW w:type="dxa" w:w="623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4.5 Itinerarios formateados y corregidos / CPA-506 Reportes y Aseguramiento de Sostenibilidad y Auditoría Ambiental.docx</w:t>
            </w:r>
          </w:p>
        </w:tc>
      </w:tr>
    </w:tbl>
    <w:p>
      <w:pPr>
        <w:spacing w:before="0" w:after="120" w:line="240" w:lineRule="auto"/>
        <w:jc w:val="left"/>
      </w:pP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2.</w:t>
        <w:tab/>
      </w:r>
      <w:r>
        <w:rPr>
          <w:rFonts w:ascii="Century Gothic" w:hAnsi="Century Gothic" w:cs="Century Gothic" w:eastAsia="Century Gothic"/>
          <w:b/>
          <w:i w:val="0"/>
          <w:sz w:val="24"/>
        </w:rPr>
        <w:t>Correcciones aplicadas</w:t>
      </w:r>
    </w:p>
    <w:p>
      <w:pPr>
        <w:spacing w:before="0" w:after="200" w:line="240" w:lineRule="auto"/>
        <w:jc w:val="both"/>
      </w:pPr>
      <w:r>
        <w:rPr>
          <w:rFonts w:ascii="Century Gothic" w:hAnsi="Century Gothic" w:cs="Century Gothic" w:eastAsia="Century Gothic"/>
          <w:b w:val="0"/>
          <w:i w:val="0"/>
          <w:sz w:val="20"/>
        </w:rPr>
        <w:t>Se corrigieron directamente, sin control de cambios, solo los errores imperdonables: ortografía, palabras repetidas o de más, espacios y puntuación, notas de trabajo y textos sobrantes. El resto del contenido se mantiene tal como lo redactaron los docentes.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2.1</w:t>
        <w:tab/>
      </w:r>
      <w:r>
        <w:rPr>
          <w:rFonts w:ascii="Century Gothic" w:hAnsi="Century Gothic" w:cs="Century Gothic" w:eastAsia="Century Gothic"/>
          <w:b/>
          <w:i w:val="0"/>
          <w:sz w:val="24"/>
        </w:rPr>
        <w:t>Errores corregidos</w:t>
      </w:r>
    </w:p>
    <w:tbl>
      <w:tblPr>
        <w:tblW w:type="auto" w:w="0"/>
        <w:jc w:val="center"/>
        <w:tblLayout w:type="fixed"/>
        <w:tblLook w:firstColumn="1" w:firstRow="1" w:lastColumn="0" w:lastRow="0" w:noHBand="0" w:noVBand="1" w:val="04A0"/>
      </w:tblPr>
      <w:tblGrid>
        <w:gridCol w:w="1814"/>
        <w:gridCol w:w="3402"/>
        <w:gridCol w:w="3402"/>
        <w:gridCol w:w="737"/>
      </w:tblGrid>
      <w:tr>
        <w:trPr>
          <w:tblHeader/>
        </w:trPr>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Tipo</w:t>
            </w:r>
          </w:p>
        </w:tc>
        <w:tc>
          <w:tcPr>
            <w:tcW w:type="dxa" w:w="34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Texto original</w:t>
            </w:r>
          </w:p>
        </w:tc>
        <w:tc>
          <w:tcPr>
            <w:tcW w:type="dxa" w:w="34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Corrección</w:t>
            </w:r>
          </w:p>
        </w:tc>
        <w:tc>
          <w:tcPr>
            <w:tcW w:type="dxa" w:w="73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Veces</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Marcas y espacios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(C,P)</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 P)</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Ortografía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 las a las organizaciones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 las organizaciones</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Ortografía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Auditorias Sociales Externas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Auditorías Sociales Externas</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Ortografía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conforme a la Normas Internacionales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conforme a las Normas Internacionales</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Ortografía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evidencia físicas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evidencias físicas</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Ortografía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normas INTOSA.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normas INTOSAI.</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Ortografía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base normativa..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base normativa.</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Ortografía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emitido por la IESBA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emitido por el IESBA</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Ortografía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Lectura de las ODS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Lectura de los ODS</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Ortografía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Objetivos del Desarrollo Sostenible</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Objetivos de Desarrollo Sostenible</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Ortografía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superiores (C, P, 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superiores. (C, P, A)</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Ortografía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sectoriales (C)</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sectoriales. (C)</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Ortografía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conforme normas emitidas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conforme a normas emitidas</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1</w:t>
            </w:r>
          </w:p>
        </w:tc>
      </w:tr>
      <w:tr>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Espacios dobles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«2.2  Hace levantamiento de evidencias documentales…»; «Elemento de competencia 3: Ejecuta las etapas de l…»</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Se corrigió</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5</w:t>
            </w: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2.2</w:t>
        <w:tab/>
      </w:r>
      <w:r>
        <w:rPr>
          <w:rFonts w:ascii="Century Gothic" w:hAnsi="Century Gothic" w:cs="Century Gothic" w:eastAsia="Century Gothic"/>
          <w:b/>
          <w:i w:val="0"/>
          <w:sz w:val="24"/>
        </w:rPr>
        <w:t>Carga horaria y créditos</w:t>
      </w:r>
    </w:p>
    <w:p>
      <w:pPr>
        <w:spacing w:before="0" w:after="200" w:line="240" w:lineRule="auto"/>
        <w:jc w:val="both"/>
      </w:pPr>
      <w:r>
        <w:rPr>
          <w:rFonts w:ascii="Century Gothic" w:hAnsi="Century Gothic" w:cs="Century Gothic" w:eastAsia="Century Gothic"/>
          <w:b w:val="0"/>
          <w:i w:val="0"/>
          <w:sz w:val="20"/>
        </w:rPr>
        <w:t>Se registraron las horas y los créditos de la malla curricular con créditos: 80 horas presenciales (HP) y un total de 120 horas de trabajo, que equivalen a 4 créditos de 30 horas. La diferencia entre el total y las horas presenciales se repartió entre HAA, HTG, HIP y HE en proporción a lo que había registrado el itinerario, y en partes iguales porque esas casillas estaban en blanco.</w:t>
      </w:r>
    </w:p>
    <w:tbl>
      <w:tblPr>
        <w:tblW w:type="auto" w:w="0"/>
        <w:jc w:val="center"/>
        <w:tblLayout w:type="fixed"/>
        <w:tblLook w:firstColumn="1" w:firstRow="1" w:lastColumn="0" w:lastRow="0" w:noHBand="0" w:noVBand="1" w:val="04A0"/>
      </w:tblPr>
      <w:tblGrid>
        <w:gridCol w:w="1474"/>
        <w:gridCol w:w="1077"/>
        <w:gridCol w:w="1077"/>
        <w:gridCol w:w="1077"/>
        <w:gridCol w:w="1077"/>
        <w:gridCol w:w="1077"/>
        <w:gridCol w:w="1077"/>
        <w:gridCol w:w="1077"/>
      </w:tblGrid>
      <w:tr>
        <w:trPr>
          <w:tblHeader/>
        </w:trPr>
        <w:tc>
          <w:tcPr>
            <w:tcW w:type="dxa" w:w="147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Versión</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HP</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HAA</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HTG</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HIP</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HE</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TOTAL</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Créditos</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Recibida</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80</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120</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Corregida</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80</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10</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10</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10</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10</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120</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w:t>
            </w: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2.3</w:t>
        <w:tab/>
      </w:r>
      <w:r>
        <w:rPr>
          <w:rFonts w:ascii="Century Gothic" w:hAnsi="Century Gothic" w:cs="Century Gothic" w:eastAsia="Century Gothic"/>
          <w:b/>
          <w:i w:val="0"/>
          <w:sz w:val="24"/>
        </w:rPr>
        <w:t>Formato</w:t>
      </w:r>
    </w:p>
    <w:p>
      <w:pPr>
        <w:numPr>
          <w:ilvl w:val="0"/>
          <w:numId w:val="901"/>
        </w:numPr>
        <w:spacing w:before="0" w:after="160" w:line="240" w:lineRule="auto"/>
        <w:jc w:val="both"/>
      </w:pPr>
      <w:r>
        <w:rPr>
          <w:rFonts w:ascii="Century Gothic" w:hAnsi="Century Gothic" w:cs="Century Gothic" w:eastAsia="Century Gothic"/>
          <w:b w:val="0"/>
          <w:i w:val="0"/>
          <w:sz w:val="20"/>
        </w:rPr>
        <w:t>Fuente Century Gothic en todo el documento.</w:t>
      </w:r>
    </w:p>
    <w:p>
      <w:pPr>
        <w:numPr>
          <w:ilvl w:val="0"/>
          <w:numId w:val="901"/>
        </w:numPr>
        <w:spacing w:before="0" w:after="160" w:line="240" w:lineRule="auto"/>
        <w:jc w:val="both"/>
      </w:pPr>
      <w:r>
        <w:rPr>
          <w:rFonts w:ascii="Century Gothic" w:hAnsi="Century Gothic" w:cs="Century Gothic" w:eastAsia="Century Gothic"/>
          <w:b w:val="0"/>
          <w:i w:val="0"/>
          <w:sz w:val="20"/>
        </w:rPr>
        <w:t>Hoja carta con márgenes de 3 cm arriba y a la izquierda y de 2 cm a la derecha y abajo; encabezado institucional con los logos de la UMSA y de la Carrera, y número de página.</w:t>
      </w:r>
    </w:p>
    <w:p>
      <w:pPr>
        <w:numPr>
          <w:ilvl w:val="0"/>
          <w:numId w:val="901"/>
        </w:numPr>
        <w:spacing w:before="0" w:after="160" w:line="240" w:lineRule="auto"/>
        <w:jc w:val="both"/>
      </w:pPr>
      <w:r>
        <w:rPr>
          <w:rFonts w:ascii="Century Gothic" w:hAnsi="Century Gothic" w:cs="Century Gothic" w:eastAsia="Century Gothic"/>
          <w:b w:val="0"/>
          <w:i w:val="0"/>
          <w:sz w:val="20"/>
        </w:rPr>
        <w:t>Tablas al ancho de la página, con rótulos en azul y letra blanca en negrita, cuerpo en azul claro y bordes azules.</w:t>
      </w:r>
    </w:p>
    <w:p>
      <w:pPr>
        <w:numPr>
          <w:ilvl w:val="0"/>
          <w:numId w:val="901"/>
        </w:numPr>
        <w:spacing w:before="0" w:after="160" w:line="240" w:lineRule="auto"/>
        <w:jc w:val="both"/>
      </w:pPr>
      <w:r>
        <w:rPr>
          <w:rFonts w:ascii="Century Gothic" w:hAnsi="Century Gothic" w:cs="Century Gothic" w:eastAsia="Century Gothic"/>
          <w:b w:val="0"/>
          <w:i w:val="0"/>
          <w:sz w:val="20"/>
        </w:rPr>
        <w:t>Viñetas cuadradas e interlineado sencillo.</w:t>
      </w:r>
    </w:p>
    <w:p>
      <w:pPr>
        <w:numPr>
          <w:ilvl w:val="0"/>
          <w:numId w:val="901"/>
        </w:numPr>
        <w:spacing w:before="0" w:after="200" w:line="240" w:lineRule="auto"/>
        <w:jc w:val="both"/>
      </w:pPr>
      <w:r>
        <w:rPr>
          <w:rFonts w:ascii="Century Gothic" w:hAnsi="Century Gothic" w:cs="Century Gothic" w:eastAsia="Century Gothic"/>
          <w:b w:val="0"/>
          <w:i w:val="0"/>
          <w:sz w:val="20"/>
        </w:rPr>
        <w:t>Se quitaron los resaltados (14 fragmentos).</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3.</w:t>
        <w:tab/>
      </w:r>
      <w:r>
        <w:rPr>
          <w:rFonts w:ascii="Century Gothic" w:hAnsi="Century Gothic" w:cs="Century Gothic" w:eastAsia="Century Gothic"/>
          <w:b/>
          <w:i w:val="0"/>
          <w:sz w:val="24"/>
        </w:rPr>
        <w:t>Resultado de la matriz de cumplimiento</w:t>
      </w:r>
    </w:p>
    <w:p>
      <w:pPr>
        <w:spacing w:before="0" w:after="200" w:line="240" w:lineRule="auto"/>
        <w:jc w:val="both"/>
      </w:pPr>
      <w:r>
        <w:rPr>
          <w:rFonts w:ascii="Century Gothic" w:hAnsi="Century Gothic" w:cs="Century Gothic" w:eastAsia="Century Gothic"/>
          <w:b w:val="0"/>
          <w:i w:val="0"/>
          <w:sz w:val="20"/>
        </w:rPr>
        <w:t>Con las correcciones aplicadas, el itinerario cumple 19 de los 21 controles, cumple en parte 0 y no cumple 2.</w:t>
      </w:r>
    </w:p>
    <w:tbl>
      <w:tblPr>
        <w:tblW w:type="auto" w:w="0"/>
        <w:jc w:val="center"/>
        <w:tblLayout w:type="fixed"/>
        <w:tblLook w:firstColumn="1" w:firstRow="1" w:lastColumn="0" w:lastRow="0" w:noHBand="0" w:noVBand="1" w:val="04A0"/>
      </w:tblPr>
      <w:tblGrid>
        <w:gridCol w:w="850"/>
        <w:gridCol w:w="2154"/>
        <w:gridCol w:w="1247"/>
        <w:gridCol w:w="5102"/>
      </w:tblGrid>
      <w:tr>
        <w:trPr>
          <w:tblHeader/>
        </w:trPr>
        <w:tc>
          <w:tcPr>
            <w:tcW w:type="dxa" w:w="85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Código</w:t>
            </w:r>
          </w:p>
        </w:tc>
        <w:tc>
          <w:tcPr>
            <w:tcW w:type="dxa" w:w="215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Control</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Resultado</w:t>
            </w:r>
          </w:p>
        </w:tc>
        <w:tc>
          <w:tcPr>
            <w:tcW w:type="dxa" w:w="51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Datos generales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No 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nombre «Reporte y Aseguramiento de Sostenibilidad y Auditoría Ambiental» frente a «Reportes y Aseguramiento de Sostenibilidad y Auditoría Ambiental» en la malla</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C2</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Carga horaria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C3</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Créditos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C4</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Unidad de competencia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C5</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Elementos y capítulos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C6</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Número de elementos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C7</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Dos criterios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C8</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Evidencias de desempeño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C9</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Evidencias de producto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C10</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Marcas C, P, A, T</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C11</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Saberes A y T</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C12</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Circunstanciales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C13</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Actividades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C14</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Rótulo de estrategias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C15</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Tipos de evaluación</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C16</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Rúbricas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C17</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Pesos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C18</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Bibliografía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No 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bibliografía básica fuera de orden alfabético (6 inversiones); 4 de 24 referencias básicas anteriores a 2016</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C19</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Expresiones a evitar</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C20</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Criterios de calificación</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r>
        <w:tc>
          <w:tcPr>
            <w:tcW w:type="dxa" w:w="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C21</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Redacción de enunciados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Cumple</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w:t>
            </w:r>
          </w:p>
        </w:tc>
      </w:tr>
    </w:tbl>
    <w:p>
      <w:pPr>
        <w:spacing w:before="0" w:after="120" w:line="240" w:lineRule="auto"/>
        <w:jc w:val="left"/>
      </w:pP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4.</w:t>
        <w:tab/>
      </w:r>
      <w:r>
        <w:rPr>
          <w:rFonts w:ascii="Century Gothic" w:hAnsi="Century Gothic" w:cs="Century Gothic" w:eastAsia="Century Gothic"/>
          <w:b/>
          <w:i w:val="0"/>
          <w:sz w:val="24"/>
        </w:rPr>
        <w:t>Observaciones que se mantienen</w:t>
      </w:r>
    </w:p>
    <w:p>
      <w:pPr>
        <w:spacing w:before="0" w:after="200" w:line="240" w:lineRule="auto"/>
        <w:jc w:val="both"/>
      </w:pPr>
      <w:r>
        <w:rPr>
          <w:rFonts w:ascii="Century Gothic" w:hAnsi="Century Gothic" w:cs="Century Gothic" w:eastAsia="Century Gothic"/>
          <w:b w:val="0"/>
          <w:i w:val="0"/>
          <w:sz w:val="20"/>
        </w:rPr>
        <w:t>Estas observaciones no se corrigieron porque tocan el contenido que redactaron los docentes. Quedan para que la comisión las evalúe.</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4.1</w:t>
        <w:tab/>
      </w:r>
      <w:r>
        <w:rPr>
          <w:rFonts w:ascii="Century Gothic" w:hAnsi="Century Gothic" w:cs="Century Gothic" w:eastAsia="Century Gothic"/>
          <w:b/>
          <w:i w:val="0"/>
          <w:sz w:val="24"/>
        </w:rPr>
        <w:t>Coherencia de la cadena de competencia</w:t>
      </w:r>
    </w:p>
    <w:tbl>
      <w:tblPr>
        <w:tblW w:type="auto" w:w="0"/>
        <w:jc w:val="center"/>
        <w:tblLayout w:type="fixed"/>
        <w:tblLook w:firstColumn="1" w:firstRow="1" w:lastColumn="0" w:lastRow="0" w:noHBand="0" w:noVBand="1" w:val="04A0"/>
      </w:tblPr>
      <w:tblGrid>
        <w:gridCol w:w="1871"/>
        <w:gridCol w:w="4195"/>
        <w:gridCol w:w="3288"/>
      </w:tblGrid>
      <w:tr>
        <w:trPr>
          <w:tblHeader/>
        </w:trPr>
        <w:tc>
          <w:tcPr>
            <w:tcW w:type="dxa" w:w="187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Ubicación</w:t>
            </w:r>
          </w:p>
        </w:tc>
        <w:tc>
          <w:tcPr>
            <w:tcW w:type="dxa" w:w="419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c>
          <w:tcPr>
            <w:tcW w:type="dxa" w:w="328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Sugerencia</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E1, criterio 1, evidencia 1.2 / Producto 2</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La evidencia 1.2 («Elabora con los hallazgos de cumplimiento legal vigente los atributos de la auditoría ambiental») no se relaciona con su producto, «Cuadro comparativo de los marcos internacionales de información de sostenibilidad», ni con el criterio, que trata obligaciones de revelación.</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Redactar la evidencia 1.2 como «Compara en equipo los marcos internacionales de información de sostenibilidad».</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E1, criterio 2, evidencia 2.1 / Producto 3</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La evidencia 2.1 compara marcos (Fundación NIIF, ESRS, GRI, SASB), pero su producto es una «Matriz de materialidad y de riesgos y oportunidades relacionados con el clima». La comparación de marcos ya corresponde al Producto 2.</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Que la evidencia 2.1 sea «Determina en equipo la materialidad y los riesgos y oportunidades relacionados con el clima de la entidad».</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E2, criterio 1 / Productos 5 y 6</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El criterio pide planificar, ejecutar e informar un encargo según la NIAS 5000, pero ningún producto es el informe de aseguramiento. El Producto 6 mezcla un cuadro comparativo con la frase de acción «Forma la conclusión de aseguramiento y elabora el informe…».</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Separar los productos: un cuadro comparativo del aseguramiento limitado y el razonable, y un informe de aseguramiento de sostenibilidad conforme a la NIAS 5000.</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E2, criterio 2, evidencia 2.1 / Producto 7</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«Toma conocimiento en aula de…» no es una acción observable, y el producto termina con «como parte de su conocimiento adquirido».</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«Compara en aula la Norma SA8000, la metodología SMETA y la Norma ISO 26000».</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Rúbrica del Producto 9</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Se copió la rúbrica del Producto 5 (Condiciones previas, Términos, Ética e independencia), que no corresponde a un «Esquema de los tipos de auditoría ambiental con su base normativa».</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Usar criterios como tipos de auditoría ambiental, base normativa y presentación.</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Rúbricas de los Productos 7, 8, 10 y 12</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Son copias de otras rúbricas: la del Producto 7 repite la del Producto 2 («Explica la consolidación de emisores en las normas sociales»), y las de los Productos 8, 10 y 12 evalúan «El equipo sustenta el cuadro con la norma», aunque son informes. Los niveles Destacado de los Productos 8 y 12 están en infinitivo («Opinar con razonabilidad…»).</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Redactar criterios propios de cada informe: alcance, hallazgos, conclusión.</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E3, Productos 9 a 12</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Los Productos 10 y 12 son casi iguales (planificación, ejecución e informe de una auditoría ambiental gubernamental) y también los Productos 9 y 11. La Contraloría General del Estado es la Entidad Fiscalizadora Superior de Bolivia, por lo que la distinción entre «normas de la Contraloría» y «metodología de las EFS» no justifica productos duplicados.</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Integrar la metodología de la INTOSAI en un solo producto y usar el otro para una etapa distinta, como el seguimiento de recomendaciones.</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Producto 1, rúbrica, criterio «Normas»</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El nivel Destacado dice «Aprende, analiza y aplica la norma», y «Aprende» no es observable.</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«Relaciona cada norma con la obligación concreta de la entidad».</w:t>
            </w: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4.2</w:t>
        <w:tab/>
      </w:r>
      <w:r>
        <w:rPr>
          <w:rFonts w:ascii="Century Gothic" w:hAnsi="Century Gothic" w:cs="Century Gothic" w:eastAsia="Century Gothic"/>
          <w:b/>
          <w:i w:val="0"/>
          <w:sz w:val="24"/>
        </w:rPr>
        <w:t>Aspectos técnicos y normativos</w:t>
      </w:r>
    </w:p>
    <w:tbl>
      <w:tblPr>
        <w:tblW w:type="auto" w:w="0"/>
        <w:jc w:val="center"/>
        <w:tblLayout w:type="fixed"/>
        <w:tblLook w:firstColumn="1" w:firstRow="1" w:lastColumn="0" w:lastRow="0" w:noHBand="0" w:noVBand="1" w:val="04A0"/>
      </w:tblPr>
      <w:tblGrid>
        <w:gridCol w:w="1871"/>
        <w:gridCol w:w="4195"/>
        <w:gridCol w:w="3288"/>
      </w:tblGrid>
      <w:tr>
        <w:trPr>
          <w:tblHeader/>
        </w:trPr>
        <w:tc>
          <w:tcPr>
            <w:tcW w:type="dxa" w:w="187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Ubicación</w:t>
            </w:r>
          </w:p>
        </w:tc>
        <w:tc>
          <w:tcPr>
            <w:tcW w:type="dxa" w:w="419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c>
          <w:tcPr>
            <w:tcW w:type="dxa" w:w="328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Sugerencia</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E1, evidencia 2.1</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«normas europeas ESRS - ESG – GRI»: ESG no es una norma, y la GRI no es europea.</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«las Normas Europeas de Información sobre Sostenibilidad (ESRS), los Estándares GRI y los estándares SASB».</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E1, contenidos, «La Federación Internacional de Contadores y sus comités, consejos y fundaciones emisores de normas de información financiera…»</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La IFAC respalda al IAASB, al IESBA y al IPSASB, pero las Normas NIIF las emite el IASB de la Fundación IFRS, que es independiente de la IFAC.</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Distinguir a la Fundación IFRS (IASB e ISSB) de los consejos que respalda la IFAC.</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Bibliografía básica, IBNORCA</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Incluye «normas americanas OSHA» junto a las Normas Bolivianas y la ISO 14001. La OSHA es una agencia de seguridad laboral de Estados Unidos, no emite normas ambientales ni las adopta el IBNORCA.</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Retirar la mención a la OSHA o citarla por separado si se usa para salud ocupacional.</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Bibliografía básica, CDSB y SASB</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Atribuye a la CDSB (2023) las recomendaciones del TCFD y a la SASB el «Marco de Información Integrada». La CDSB se integró a la Fundación IFRS en 2022 y el TCFD se disolvió en 2023 tras transferir su seguimiento al ISSB; el Marco de Información Integrada es del IIRC y de la Fundación de Informes de Valor, no de la SASB.</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Citar cada documento con su emisor real y como antecedente de las NIIF S1 y S2.</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Bibliografía básica, IAASB</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Cita la NIAS 5000 como «IAASB (2023)… Emitida… en noviembre de 2024», con año contradictorio. Además, el manual de 2018 está desactualizado.</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«IAASB (2024). Norma Internacional de Aseguramiento de la Sostenibilidad (NIAS) 5000», más el Handbook vigente.</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E3, conocimientos circunstanciales y bibliografía</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Cita las «ISSAI 5110 a 5140». En el Marco de Pronunciamientos Profesionales de la INTOSAI (IFPP), esos documentos pasaron a guías de la serie GUID 5200; la bibliografía mezcla ambas numeraciones.</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Citar solo la numeración GUID vigente.</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E1, Tema 6, contenidos</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«finanzas y bebida alimenticia» no corresponde a la clasificación SASB, cuyos sectores son «Financieros» y «Alimentos y bebidas».</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Escribir «financieros; alimentos y bebidas».</w:t>
            </w: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4.3</w:t>
        <w:tab/>
      </w:r>
      <w:r>
        <w:rPr>
          <w:rFonts w:ascii="Century Gothic" w:hAnsi="Century Gothic" w:cs="Century Gothic" w:eastAsia="Century Gothic"/>
          <w:b/>
          <w:i w:val="0"/>
          <w:sz w:val="24"/>
        </w:rPr>
        <w:t>Marcas de saber</w:t>
      </w:r>
    </w:p>
    <w:tbl>
      <w:tblPr>
        <w:tblW w:type="auto" w:w="0"/>
        <w:jc w:val="center"/>
        <w:tblLayout w:type="fixed"/>
        <w:tblLook w:firstColumn="1" w:firstRow="1" w:lastColumn="0" w:lastRow="0" w:noHBand="0" w:noVBand="1" w:val="04A0"/>
      </w:tblPr>
      <w:tblGrid>
        <w:gridCol w:w="1871"/>
        <w:gridCol w:w="4195"/>
        <w:gridCol w:w="3288"/>
      </w:tblGrid>
      <w:tr>
        <w:trPr>
          <w:tblHeader/>
        </w:trPr>
        <w:tc>
          <w:tcPr>
            <w:tcW w:type="dxa" w:w="187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Ubicación</w:t>
            </w:r>
          </w:p>
        </w:tc>
        <w:tc>
          <w:tcPr>
            <w:tcW w:type="dxa" w:w="419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c>
          <w:tcPr>
            <w:tcW w:type="dxa" w:w="328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Sugerencia</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E1, «Normas SASB de los sectores de ropa, accesorios y calzado… (C, T)»</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Lleva (T), pero el contenido es una lista de normas sectoriales y no exige operar ninguna herramienta.</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E1, «La Bolsa Boliviana de Valores y las finanzas sostenibles…» y «Bonos verdes, sociales y sostenibles…» (C, A)</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Llevan (A) sin una conducta observable.</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E3, contenidos de los Temas 11 a 13</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Casi todos llevan (C, P, A) de forma mecánica, por ejemplo «Fase de planeación, fase de ejecución, fase de informe y técnicas de auditoría. (C, P, A)», sin que el contenido mencione una conducta esperada.</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4.4</w:t>
        <w:tab/>
      </w:r>
      <w:r>
        <w:rPr>
          <w:rFonts w:ascii="Century Gothic" w:hAnsi="Century Gothic" w:cs="Century Gothic" w:eastAsia="Century Gothic"/>
          <w:b/>
          <w:i w:val="0"/>
          <w:sz w:val="24"/>
        </w:rPr>
        <w:t>Conocimientos circunstanciales</w:t>
      </w:r>
    </w:p>
    <w:tbl>
      <w:tblPr>
        <w:tblW w:type="auto" w:w="0"/>
        <w:jc w:val="center"/>
        <w:tblLayout w:type="fixed"/>
        <w:tblLook w:firstColumn="1" w:firstRow="1" w:lastColumn="0" w:lastRow="0" w:noHBand="0" w:noVBand="1" w:val="04A0"/>
      </w:tblPr>
      <w:tblGrid>
        <w:gridCol w:w="1871"/>
        <w:gridCol w:w="4195"/>
        <w:gridCol w:w="3288"/>
      </w:tblGrid>
      <w:tr>
        <w:trPr>
          <w:tblHeader/>
        </w:trPr>
        <w:tc>
          <w:tcPr>
            <w:tcW w:type="dxa" w:w="187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Ubicación</w:t>
            </w:r>
          </w:p>
        </w:tc>
        <w:tc>
          <w:tcPr>
            <w:tcW w:type="dxa" w:w="419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c>
          <w:tcPr>
            <w:tcW w:type="dxa" w:w="328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Sugerencia</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E2, conocimientos circunstanciales</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Las «Normas Internacionales de Ética para el Aseguramiento de la Sostenibilidad» se dictan en CPA-406 Ética e Independencia Profesional y además ya figuran como contenido del Tema 7. La NIAS 5000 también aparece como circunstancial, aunque es el contenido central del elemento.</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E3, conocimientos circunstanciales</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«Planificación de la Auditoría Ambiental», «Ejecución…» e «Informe…» son el contenido propio del elemento, no conocimientos circunstanciales.</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4.5</w:t>
        <w:tab/>
      </w:r>
      <w:r>
        <w:rPr>
          <w:rFonts w:ascii="Century Gothic" w:hAnsi="Century Gothic" w:cs="Century Gothic" w:eastAsia="Century Gothic"/>
          <w:b/>
          <w:i w:val="0"/>
          <w:sz w:val="24"/>
        </w:rPr>
        <w:t>Otras observaciones</w:t>
      </w:r>
    </w:p>
    <w:tbl>
      <w:tblPr>
        <w:tblW w:type="auto" w:w="0"/>
        <w:jc w:val="center"/>
        <w:tblLayout w:type="fixed"/>
        <w:tblLook w:firstColumn="1" w:firstRow="1" w:lastColumn="0" w:lastRow="0" w:noHBand="0" w:noVBand="1" w:val="04A0"/>
      </w:tblPr>
      <w:tblGrid>
        <w:gridCol w:w="1871"/>
        <w:gridCol w:w="4195"/>
        <w:gridCol w:w="3288"/>
      </w:tblGrid>
      <w:tr>
        <w:trPr>
          <w:tblHeader/>
        </w:trPr>
        <w:tc>
          <w:tcPr>
            <w:tcW w:type="dxa" w:w="187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Ubicación</w:t>
            </w:r>
          </w:p>
        </w:tc>
        <w:tc>
          <w:tcPr>
            <w:tcW w:type="dxa" w:w="419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c>
          <w:tcPr>
            <w:tcW w:type="dxa" w:w="328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Sugerencia</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E1, contenidos</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Contenido duplicado: «Ley de Derechos de la Madre Tierra y Ley Marco de la Madre Tierra…» y, a continuación, «Ley N° 071 de Derechos de la Madre Tierra y Ley N° 300 Marco…».</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Bibliografía básica</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No está en orden alfabético y repite entradas: las Leyes N° 071 y N° 300 aparecen dos veces, y las dos entradas de la INTOSAI (2000 y 2022) aparecen dos veces cada una.</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E1, Temas 4 a 6</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La preparación de reportes según las NIIF S1 y S2 repite CPA-301 Contabilidad Internacional, que ya dicta el ISSB y las NIIF S1 y S2. La lista detallada de las normas SASB por sector es excesiva para una asignatura de 2 h/semana.</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Bibliografía complementaria</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«Quisbert Blanco, Á. (2026)»: el docente de la asignatura figura en el informe como «Angel Blanco Quisbert». Conviene verificar el orden de los apellidos.</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4.6</w:t>
        <w:tab/>
      </w:r>
      <w:r>
        <w:rPr>
          <w:rFonts w:ascii="Century Gothic" w:hAnsi="Century Gothic" w:cs="Century Gothic" w:eastAsia="Century Gothic"/>
          <w:b/>
          <w:i w:val="0"/>
          <w:sz w:val="24"/>
        </w:rPr>
        <w:t>Redacción que decide la comisión</w:t>
      </w:r>
    </w:p>
    <w:tbl>
      <w:tblPr>
        <w:tblW w:type="auto" w:w="0"/>
        <w:jc w:val="center"/>
        <w:tblLayout w:type="fixed"/>
        <w:tblLook w:firstColumn="1" w:firstRow="1" w:lastColumn="0" w:lastRow="0" w:noHBand="0" w:noVBand="1" w:val="04A0"/>
      </w:tblPr>
      <w:tblGrid>
        <w:gridCol w:w="1871"/>
        <w:gridCol w:w="4195"/>
        <w:gridCol w:w="3288"/>
      </w:tblGrid>
      <w:tr>
        <w:trPr>
          <w:tblHeader/>
        </w:trPr>
        <w:tc>
          <w:tcPr>
            <w:tcW w:type="dxa" w:w="187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Ubicación</w:t>
            </w:r>
          </w:p>
        </w:tc>
        <w:tc>
          <w:tcPr>
            <w:tcW w:type="dxa" w:w="419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Observación</w:t>
            </w:r>
          </w:p>
        </w:tc>
        <w:tc>
          <w:tcPr>
            <w:tcW w:type="dxa" w:w="328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Sugerencia</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E2, evidencia 2.2</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«Realiza evidencia testimoniales»</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Propuesta: «Obtiene evidencias testimoniales»</w:t>
            </w:r>
          </w:p>
        </w:tc>
      </w:tr>
      <w:tr>
        <w:tc>
          <w:tcPr>
            <w:tcW w:type="dxa" w:w="1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Unidad de competencia</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«y contraloría en temas»</w:t>
            </w:r>
          </w:p>
        </w:tc>
        <w:tc>
          <w:tcPr>
            <w:tcW w:type="dxa" w:w="328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Propuesta: «y la Contraloría General del Estado en temas»</w:t>
            </w:r>
          </w:p>
        </w:tc>
      </w:tr>
    </w:tbl>
    <w:p>
      <w:pPr>
        <w:spacing w:before="0" w:after="120" w:line="240" w:lineRule="auto"/>
        <w:jc w:val="left"/>
      </w:pP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5.</w:t>
        <w:tab/>
      </w:r>
      <w:r>
        <w:rPr>
          <w:rFonts w:ascii="Century Gothic" w:hAnsi="Century Gothic" w:cs="Century Gothic" w:eastAsia="Century Gothic"/>
          <w:b/>
          <w:i w:val="0"/>
          <w:sz w:val="24"/>
        </w:rPr>
        <w:t>Valoración</w:t>
      </w:r>
    </w:p>
    <w:p>
      <w:pPr>
        <w:spacing w:before="0" w:after="200" w:line="240" w:lineRule="auto"/>
        <w:jc w:val="both"/>
      </w:pPr>
      <w:r>
        <w:rPr>
          <w:rFonts w:ascii="Century Gothic" w:hAnsi="Century Gothic" w:cs="Century Gothic" w:eastAsia="Century Gothic"/>
          <w:b w:val="0"/>
          <w:i w:val="0"/>
          <w:sz w:val="20"/>
        </w:rPr>
        <w:t>El contenido está actualizado: NIIF S1 y S2, NIAS 5000 con su vigencia correcta y normas éticas de sostenibilidad. Sin embargo, la cadena de coherencia falla en varios puntos: hay evidencias y productos desplazados en el elemento 1, falta el informe NIAS 5000 como producto, hay rúbricas copiadas (Productos 7 a 12) y productos duplicados en el elemento 3. Además, varias referencias atribuyen marcos a emisores equivocados. Requiere una revisión de fondo antes de aprobarse.</w:t>
      </w: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