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CPA-507 Auditoría de Proyectos Público y Privado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CPA-507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de Proyectos Público y Privado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de Entidades Sin Fines de Lucro – Proyectos Privados y Públicos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4 créditos y 120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CPA-507.docx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CPA-507 Auditoría de Proyectos Público y Privado.docx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de nacionales e internacionales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nacionales e internacionales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 proyectos que los administran y ejecutan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proyectos que administran y ejecutan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del encargo auditoría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del encargo de auditoría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estados de gastos) y ruta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estados de gastos y ruta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financiadoras externos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financiadores externos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120 horas de trabajo, que equivalen a 4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quitaron los resaltados (2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1 y no cumple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 «Auditoría de Entidades Sin Fines de Lucro – Proyectos Privados y Públicos» frente a «Auditoría de Proyectos Público y Privado» en la malla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procesos en gerundio; 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16 rúbricas con niveles distintos de 1–50, 51–80 y 81–100 (p. ej., «Criterio Insuficiente (0–50) Suficiente (51–80) Destacado (81–100)»)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(1 inversiones); 4 de 30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(3), «para que»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elemento frente al criterio 1 / Productos 9 y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trata la evaluación del control interno, pero el criterio 1 y sus productos (cuadro del proceso de auditoría según el origen de los fondos y matriz por fase del proyecto de inversión pública) tratan el proceso de auditoría y la inversión pública, no el control interno.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Ampliar el enunciado del elemento («Determina el proceso de auditoría aplicable y evalúa el control interno…») o trasladar el criterio 1 al elemento 4.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1.1 / Producto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resolver un caso de reconocimiento de subvenciones y donaciones, pero el producto son los estados financieros completos, de propósito general y específico, de la entidad y su proyecto, un resultado mayor que la acción observada.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la evidencia: «Elabora en aula los estados financieros de propósito general y específico, reconociendo las subvenciones…».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 / Producto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incluye el informe de cumplimiento (ISSAI 4000 / NIEA 3000), pero el Producto 16 solo admite auditoría, revisión o procedimientos acordados, y ninguna rúbrica evalúa un informe de cumplimiento.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el informe de cumplimiento como opción del Producto 16 o quitarlo del criterio.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«Consulta de normativa y de registros públicos en línea…. (T)»; E1, «Lectura de estados financieros… publicados en los portales… (T)»; E4, «Consulta de manuales y términos de referencia en los portales…; lectura en inglés técnico. (T)»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Consultar o leer un portal no es operar una herramienta: según la guía, esos contenidos son (C) o (P).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16, «Redacción técnica clara, objetiva y fundamentada. (A)»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una habilidad procedimental. Para llevar (A) debería mencionar la conducta, por ejemplo la objetividad ante presiones del financiador o del ejecutor.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«Normas NIIF S1 y S2 del ISSB (2023)…» se dictan en CPA-301 Contabilidad Internacional y CPA-506, y no se relacionan con los estados financieros de propósito específico del tema.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12,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«Auditorías especiales de la Contraloría General del Estado en el marco de la Ley N° 1178» se dictan en CPA-504 Auditoría Gubernamental, que además las llama «auditoría de cumplimiento».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generales, nombre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itinerario usa «Auditoría de Entidades Sin Fines de Lucro – Proyectos Privados y Públicos»; la malla dice «Auditoría de Proyectos Público y Privado». El cambio debe aprobarse y trasladarse a la malla; véase el informe de la subcomisión.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(17 casos) y criterios de calificación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escala dice «Insuficiente (0–50)», mientras la guía fija «1 a 50».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y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Incluye documentos curriculares y pedagógicos que no son bibliografía de la asignatura: el Diagnóstico del Plan de Estudios 2013, las conclusiones de la Reunión Sectorial del SUB, Biggs (Teaching for Quality Learning), Tobón (competencias), el Future of Jobs Report del WEF y el Handbook de pronunciamientos de educación de la IFAC.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Temas 14, 15 y 17; E3, Tema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Repite temas de otras asignaturas: las NIA 300, 315, 320, 330, 500, 530 y 580 (CPA-407), COSO 2013 y COSO ERM 2017 (CPA-408), las técnicas asistidas por computador y la ley de Benford (CPA-505), y la NISR 4400 (también en CPA-508 y CPA-509). Conviene limitarlas a su aplicación en proyectos.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el itinerario más actualizado y mejor encadenado del grupo, con normas vigentes y bien citadas (NICSP 47, NIIF para las PYMES 2025, INPAS, NIA 240 Revisada, NISR 4400 Revisada, ISSAI 4000) y rúbricas propias de cada producto. Faltan la justificación formal del cambio de nombre, el ajuste del elemento 3, la limpieza de la bibliografía no disciplinar y la reducción de los temas que repite de CPA-407, CPA-408 y CPA-505.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