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CPA-509 Auditoría de Entidades Financieras y Servicios Relacionados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CPA-509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de Entidades Financieras y Servicios Relacionados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4 créditos y 120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CPA-509.docx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CPA-509 Auditoría de Entidades Financieras y Servicios Relacionados.docx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No se encontraron errores imperdonables en el texto.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120 horas de trabajo, que equivalen a 4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Segoe UI).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1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(2 inversiones)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Productos 9 y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dos productos son matrices de riesgos de incorrección material por aseveración: el 9 dentro del memorándum de planificación y el 11 como «Matriz de valoración de riesgos». El criterio 2 repite la valoración de riesgos del criterio 1 (NIA 315).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Enfocar el criterio 2 en el riesgo de fraude, el incumplimiento regulatorio y la empresa en funcionamiento, con un producto distinto de la matriz general.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1, evidencia 1.2 / Producto 14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informe del auditor sobre los estados financieros y las cuestiones clave de auditoría, que es el producto central de la unidad de competencia, queda dentro de un criterio sobre la normativa de la UIF y la seguridad de la información.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Pasar el informe del auditor a un criterio propio de comunicación de resultados, como el Tema 10.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 mismo criterio junta dos resultados que no tienen relación: los procedimientos acordados (NISR 4400) y la comunicación de deficiencias de control interno de la auditoría (NIA 265 y 260), unidos con «por separado».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Dividirlos o trasladar la comunicación de deficiencias al elemento 4.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5 y 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5 es un papel de trabajo de evaluación de estados financieros, pero su rúbrica evalúa cómo se elaboran («Expone los estados y sus notas», «Los estados son desordenados»). La rúbrica del Producto 7, que también es un papel de trabajo, habla de «El informe…».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18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un informe de aseguramiento conforme a la NIEA 3000, pero su rúbrica no evalúa el nivel de seguridad, los criterios aplicables ni la forma de la conclusión.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Reemplazar el criterio «Trabajo en equipo» por «Conclusión y nivel de seguridad».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«Arens, A. y Loebbecke, J. (2022). Auditoría, un enfoque integral. 6a ed. … Prentice Hall Hispanoamericana»: la 6.ª edición en español de Arens y Loebbecke es de los años noventa (1996), no de 2022.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el año o citar la edición vigente de Arens, Elder y Beasley.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«Whittington, R. y Pany, K. (2025). Principios de Auditoría. 14a ed.»: la 14.ª edición en español es de mediados de la década de 2000, así que el año 2025 no concuerda con esa edición.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Verificar y corregir el año o la edición.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«Normas para la administración crediticia y la previsión para incobrabilidad. (C)» y «Reglamento de tasas de interés, normas sobre el encaje legal y norma sobre la suficiencia patrimonial. (C)»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llevan (C), aunque los Productos 3 y 4 exigen calcular la previsión, el encaje y el coeficiente de adecuación patrimonial. Deberían ser (C, 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«Indicadores de solvencia, liquidez, calidad de cartera y rentabilidad utilizados en la supervisión. (C)»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7 calcula esos indicadores. Debería ser (C, P) o (P, T).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«Normativa de la Unidad de Investigaciones Financieras sobre prevención de la legitimación de ganancias ilícitas…» figura como circunstancial, aunque es contenido central del Tema 8 y también se dicta en CPA-508 (elemento 4).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«Reglamento para la Realización del Trabajo de Auditoría Externa de la ASFI vigente» es la base de las evidencias 2.2 (E2) y del Tema 11, no un conocimiento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E2 frente a CPA-303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previsión para incobrabilidad, el encaje legal y el Manual de Cuentas para Entidades Financieras ya se dictan en CPA-303 Contabilidad de Bancos y Entidades Financieras. Aquí deberían tratarse solo desde la auditoría.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 frente a CPA-505 y CPA-508; E5 frente a CPA-507 y CPA-508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entorno de TI, la ciberseguridad y COBIT se cruzan con CPA-505; la UIF, con CPA-508, y la NISR 4400, con CPA-507 y CPA-508.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Tema 11 frente a E2, evidencia 2.2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mismo reglamento de la ASFI aparece con dos nombres: «Reglamento para la Realización de Auditorías Externas» y «Reglamento para la Realización del Trabajo de Auditoría Externa».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se titula «Matriz de servicios financieros autorizados», mientras la evidencia nombra el producto «Cuadro de los servicios financieros autorizados…».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está en orden alfabético: la Ley N° 393 va antes de una entrada de la ASFI, y siguen ISACA e ISO. Varias normas (COBIT, ISO/IEC 27001, Guías de la ASFI) no tienen año ni edición.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Extensión general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una asignatura de 2 h/semana tiene 5 elementos y 20 productos, cada uno descrito con enunciados muy largos (Productos 10, 11, 15 y 16). La carga de trabajo parece excesiva para 80 h.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un itinerario técnicamente sólido y actualizado: normativa de la ASFI y del BCB, NIA 315, 540 y 600 revisadas, comparación con la NIIF 9, análisis de datos y TI. Su redacción está casi libre de errores. Conviene depurar las duplicaciones internas (Productos 9 y 11, criterio 2 del elemento 5), sacar el informe del auditor del criterio de la UIF, ajustar las rúbricas de los Productos 5, 7 y 18 y reducir la extensión de los productos para una asignatura de 2 h/semana.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