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Century Gothic" w:hAnsi="Century Gothic" w:cs="Century Gothic" w:eastAsia="Century Gothic"/>
          <w:b/>
          <w:i w:val="0"/>
          <w:sz w:val="28"/>
        </w:rPr>
        <w:t>Informe de Correcciones y Observaciones</w:t>
      </w:r>
    </w:p>
    <w:p>
      <w:pPr>
        <w:spacing w:before="0" w:after="360" w:line="240" w:lineRule="auto"/>
        <w:jc w:val="center"/>
      </w:pPr>
      <w:r>
        <w:rPr>
          <w:rFonts w:ascii="Century Gothic" w:hAnsi="Century Gothic" w:cs="Century Gothic" w:eastAsia="Century Gothic"/>
          <w:b/>
          <w:i w:val="0"/>
          <w:sz w:val="28"/>
        </w:rPr>
        <w:t>CPA-510 Taller de Grado</w:t>
      </w:r>
    </w:p>
    <w:p>
      <w:pPr>
        <w:spacing w:before="0" w:after="240" w:line="240" w:lineRule="auto"/>
        <w:jc w:val="center"/>
      </w:pPr>
      <w:r>
        <w:rPr>
          <w:rFonts w:ascii="Century Gothic" w:hAnsi="Century Gothic" w:cs="Century Gothic" w:eastAsia="Century Gothic"/>
          <w:b w:val="0"/>
          <w:i/>
          <w:sz w:val="20"/>
        </w:rPr>
        <w:t>Punto 4.5 Planes de asignatura, Rediseño Curricular</w:t>
      </w:r>
    </w:p>
    <w:p>
      <w:pPr>
        <w:keepNext/>
        <w:tabs>
          <w:tab w:pos="709" w:val="left"/>
        </w:tabs>
        <w:spacing w:before="16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1.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Datos de la asignatura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236"/>
      </w:tblGrid>
      <w:tr>
        <w:trPr>
          <w:tblHeader/>
        </w:trPr>
        <w:tc>
          <w:tcPr>
            <w:tcW w:type="dxa" w:w="283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Dato</w:t>
            </w:r>
          </w:p>
        </w:tc>
        <w:tc>
          <w:tcPr>
            <w:tcW w:type="dxa" w:w="6236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Detalle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Sigla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CPA-510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Asignatura según la malla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Taller de Grado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Área del itinerario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Aseguramiento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Año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5.° año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Carga horaria y créditos de la malla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2 h/semana, 80 horas presenciales al año, 4 créditos y 120 horas de trabajo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Archivo recibido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CPA-510.docx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Archivo corregido y formateado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4.5 Itinerarios formateados y corregidos / CPA-510 Taller de Grado.docx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6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2.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Correcciones aplicadas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Se corrigieron directamente, sin control de cambios, solo los errores imperdonables: ortografía, palabras repetidas o de más, espacios y puntuación, notas de trabajo y textos sobrantes. El resto del contenido se mantiene tal como lo redactaron los docentes.</w:t>
      </w: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2.1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Errores corregidos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3402"/>
        <w:gridCol w:w="3402"/>
        <w:gridCol w:w="737"/>
      </w:tblGrid>
      <w:tr>
        <w:trPr>
          <w:tblHeader/>
        </w:trPr>
        <w:tc>
          <w:tcPr>
            <w:tcW w:type="dxa" w:w="181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Tipo</w:t>
            </w:r>
          </w:p>
        </w:tc>
        <w:tc>
          <w:tcPr>
            <w:tcW w:type="dxa" w:w="340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Texto original</w:t>
            </w:r>
          </w:p>
        </w:tc>
        <w:tc>
          <w:tcPr>
            <w:tcW w:type="dxa" w:w="340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Corrección</w:t>
            </w:r>
          </w:p>
        </w:tc>
        <w:tc>
          <w:tcPr>
            <w:tcW w:type="dxa" w:w="73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Veces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Marcas y espacios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(A,T)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(A, T)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Marcas y espacios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(C,P)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(C, P)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4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Marcas y espacios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(C,A)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(C, A)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Sigla de la carga horaria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HTC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HTG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Concepto y dimensiones de la realidad; la práctica social.(C)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Concepto y dimensiones de la realidad; la práctica social. (C)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(C,P y A)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(C, P, A)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artículo científico o académico. (C )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artículo científico o académico. (C)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a partir Revisión Literaria y Modelo teórico/modelo aplicado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a partir de la revisión literaria y del modelo teórico o modelo aplicado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con base a revisión literaria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con base en la revisión literaria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contenido de la tesis de grado su naturaleza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contenido de la tesis de grado: su naturaleza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contrastación de hipótesis, (cuando corresponda).(P)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contrastación de hipótesis (cuando corresponda). (P)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relacionada con él tema de investigación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relacionada con el tema de investigación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Omite observaciones o la consigna de forma imprecisa.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Omite observaciones o las consigna de forma imprecisa.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redactar monografías y otros trabajos académicos?.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redactar monografías y otros trabajos académicos?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Espacios dobles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«Producto 4:  Informe de justificación de la modali…»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Se corrigió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Viñetas o incisos vacíos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(en todo el documento)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Se eliminaron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2.2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Carga horaria y créditos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Se registraron las horas y los créditos de la malla curricular con créditos: 80 horas presenciales (HP) y un total de 120 horas de trabajo, que equivalen a 4 créditos de 30 horas. La diferencia entre el total y las horas presenciales se repartió entre HAA, HTG, HIP y HE en proporción a lo que había registrado el itinerario.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1077"/>
        <w:gridCol w:w="1077"/>
        <w:gridCol w:w="1077"/>
        <w:gridCol w:w="1077"/>
        <w:gridCol w:w="1077"/>
        <w:gridCol w:w="1077"/>
        <w:gridCol w:w="1077"/>
      </w:tblGrid>
      <w:tr>
        <w:trPr>
          <w:tblHeader/>
        </w:trPr>
        <w:tc>
          <w:tcPr>
            <w:tcW w:type="dxa" w:w="147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Versión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HP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HAA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HTG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HIP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HE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TOTAL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Créditos</w:t>
            </w:r>
          </w:p>
        </w:tc>
      </w:tr>
      <w:tr>
        <w:tc>
          <w:tcPr>
            <w:tcW w:type="dxa" w:w="147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Recibida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80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120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–</w:t>
            </w:r>
          </w:p>
        </w:tc>
      </w:tr>
      <w:tr>
        <w:tc>
          <w:tcPr>
            <w:tcW w:type="dxa" w:w="147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Corregida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80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120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4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2.3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Formato</w:t>
      </w:r>
    </w:p>
    <w:p>
      <w:pPr>
        <w:numPr>
          <w:ilvl w:val="0"/>
          <w:numId w:val="901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Fuente Century Gothic en todo el documento.</w:t>
      </w:r>
    </w:p>
    <w:p>
      <w:pPr>
        <w:numPr>
          <w:ilvl w:val="0"/>
          <w:numId w:val="901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Hoja carta con márgenes de 3 cm arriba y a la izquierda y de 2 cm a la derecha y abajo; encabezado institucional con los logos de la UMSA y de la Carrera, y número de página.</w:t>
      </w:r>
    </w:p>
    <w:p>
      <w:pPr>
        <w:numPr>
          <w:ilvl w:val="0"/>
          <w:numId w:val="901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Tablas al ancho de la página, con rótulos en azul y letra blanca en negrita, cuerpo en azul claro y bordes azules.</w:t>
      </w:r>
    </w:p>
    <w:p>
      <w:pPr>
        <w:numPr>
          <w:ilvl w:val="0"/>
          <w:numId w:val="901"/>
        </w:num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Viñetas cuadradas e interlineado sencillo.</w:t>
      </w:r>
    </w:p>
    <w:p>
      <w:pPr>
        <w:keepNext/>
        <w:tabs>
          <w:tab w:pos="709" w:val="left"/>
        </w:tabs>
        <w:spacing w:before="16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3.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Resultado de la matriz de cumplimiento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Con las correcciones aplicadas, el itinerario cumple 14 de los 21 controles, cumple en parte 5 y no cumple 2.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2154"/>
        <w:gridCol w:w="1247"/>
        <w:gridCol w:w="5102"/>
      </w:tblGrid>
      <w:tr>
        <w:trPr>
          <w:tblHeader/>
        </w:trPr>
        <w:tc>
          <w:tcPr>
            <w:tcW w:type="dxa" w:w="85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Código</w:t>
            </w:r>
          </w:p>
        </w:tc>
        <w:tc>
          <w:tcPr>
            <w:tcW w:type="dxa" w:w="215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Control</w:t>
            </w:r>
          </w:p>
        </w:tc>
        <w:tc>
          <w:tcPr>
            <w:tcW w:type="dxa" w:w="124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Resultado</w:t>
            </w:r>
          </w:p>
        </w:tc>
        <w:tc>
          <w:tcPr>
            <w:tcW w:type="dxa" w:w="510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Observación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Datos generales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C2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Carga horaria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C3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Créditos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C4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Unidad de competencia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Parcial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sin referencia al contexto boliviano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C5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Elementos y capítulos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C6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Número de elementos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C7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Dos criterios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C8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Evidencias de desempeño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Parcial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E3: 4 evidencias, sin numeración completa (numeración 2.2); E4: 5 evidencias, sin numeración completa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C9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Evidencias de producto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C10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Marcas C, P, A, T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Parcial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 contenidos sin punto antes de la marca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C11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Saberes A y T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C12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Circunstanciales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C13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Actividades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No 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falta la columna «En clase» (dice «Clases»)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C14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Rótulo de estrategias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C15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Tipos de evaluación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C16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Rúbricas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C17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Pesos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C18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Bibliografía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Parcial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4 de 9 referencias básicas anteriores a 2016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C19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Expresiones a evitar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No 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expresiones a evitar: «mediante» (9)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C20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Criterios de calificación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C21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Redacción de enunciados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Parcial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 evidencias de producto redactadas como acción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6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Observaciones que se mantienen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Estas observaciones no se corrigieron porque tocan el contenido que redactaron los docentes. Quedan para que la comisión las evalúe.</w:t>
      </w: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4.1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Coherencia de la cadena de competencia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4195"/>
        <w:gridCol w:w="3288"/>
      </w:tblGrid>
      <w:tr>
        <w:trPr>
          <w:tblHeader/>
        </w:trPr>
        <w:tc>
          <w:tcPr>
            <w:tcW w:type="dxa" w:w="187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Ubicación</w:t>
            </w:r>
          </w:p>
        </w:tc>
        <w:tc>
          <w:tcPr>
            <w:tcW w:type="dxa" w:w="419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Observación</w:t>
            </w:r>
          </w:p>
        </w:tc>
        <w:tc>
          <w:tcPr>
            <w:tcW w:type="dxa" w:w="328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Sugerencia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Unidad de competencia, E1 (criterio 2, 2.1 y 2.2) y E3-E4 frente a las modalidades de graduación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Los contenidos del E1 citan solo tesis, proyecto de grado, trabajo dirigido, examen de grado y excelencia. Omiten el diplomado y el PETAENG. La unidad y todos los productos del E3-E4 se limitan al perfil de tesis o de proyecto de grado: quien elija trabajo dirigido, examen de grado, excelencia, diplomado o PETAENG en la evidencia 2.2 no tiene un producto que hacer.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Incluir diplomado y PETAENG en los contenidos del E1. Definir el Taller como preparación del perfil para las modalidades con investigación (tesis, proyecto, trabajo dirigido) y prever un producto equivalente (por ejemplo, el plan de trabajo dirigido) o una nota sobre el tratamiento de las demás modalidades.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E3, Tema 12 'Trabajo dirigido o práctica pre-profesional'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Tiene tres contenidos, pero ningún criterio, evidencia ni producto. El elemento 1 sí diferencia el trabajo dirigido, que luego desaparece de la cadena.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Añadir 'Perfil de Trabajo Dirigido' como alternativa en el E3 y el E4, o retirar el Tema 12.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E3, Productos 9 y 11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Ambos construyen el modelo teórico o aplicado, y las dos rúbricas tienen el criterio 'Construcción del modelo'. El P9 (evidencia 1.1: identificar la temática) adelanta lo que pide el criterio 2.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Limitar el P9 a la revisión de la literatura y la fundamentación del tema, y dejar el modelo en el P11.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E3, Producto 10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Está redactado como acción ('Analiza y problematiza el objeto de estudio…'), igual en la tabla y en la rúbrica, que es un error frecuente según la guía.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'Planteamiento del problema con su delimitación temática, espacial y temporal y sus variables'.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E3, contenidos de los Temas 9 y 11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Marco práctico, contrastación de hipótesis, resultados y conclusiones corresponden a la ejecución de la tesis o el proyecto, no al perfil, que es el alcance de la unidad de competencia.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Tratarlos como orientación (C) o limitarlos a la estructura esperada.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4.2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Aspectos técnicos y normativos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4195"/>
        <w:gridCol w:w="3288"/>
      </w:tblGrid>
      <w:tr>
        <w:trPr>
          <w:tblHeader/>
        </w:trPr>
        <w:tc>
          <w:tcPr>
            <w:tcW w:type="dxa" w:w="187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Ubicación</w:t>
            </w:r>
          </w:p>
        </w:tc>
        <w:tc>
          <w:tcPr>
            <w:tcW w:type="dxa" w:w="419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Observación</w:t>
            </w:r>
          </w:p>
        </w:tc>
        <w:tc>
          <w:tcPr>
            <w:tcW w:type="dxa" w:w="328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Sugerencia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Bibliografía básica, 'Eco, H. (2006)'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El autor es Umberto Eco: la inicial es U.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'Eco, U. (2006)'.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Bibliografía básica, 'Álvarez de Sayas, C.'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El apellido del autor cubano es Álvarez de Zayas.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'Álvarez de Zayas, C.'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Bibliografía complementaria, 'Zorrilla, S. y Tórrez, M.' y 'Universidad Privada de Ciencias Aplicadas'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Los autores son Zorrilla Arena y Torres Xammar. La editorial de Alayza y otros es la Universidad Peruana de Ciencias Aplicadas (UPC).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Corregir los nombres.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Bibliografía básica, 'Reglamento General de Tipos y Modalidades de Graduación…'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No tiene emisor (CEUB), año ni número de aprobación, aunque es la norma base de la asignatura. Tampoco se cita la normativa de la Carrera o de la Facultad sobre diplomado y PETAENG.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Completar la referencia y añadir los reglamentos de la UMSA y de la Carrera.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4.3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Marcas de saber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4195"/>
        <w:gridCol w:w="3288"/>
      </w:tblGrid>
      <w:tr>
        <w:trPr>
          <w:tblHeader/>
        </w:trPr>
        <w:tc>
          <w:tcPr>
            <w:tcW w:type="dxa" w:w="187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Ubicación</w:t>
            </w:r>
          </w:p>
        </w:tc>
        <w:tc>
          <w:tcPr>
            <w:tcW w:type="dxa" w:w="419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Observación</w:t>
            </w:r>
          </w:p>
        </w:tc>
        <w:tc>
          <w:tcPr>
            <w:tcW w:type="dxa" w:w="328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Sugerencia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E1, contenidos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'Descripción y aplicabilidad del Reglamento… (P)' y 'Diferencias entre la tesis de grado, el trabajo dirigido y el proyecto de grado. (P)' son cognitivos (C). 'Pensamiento crítico… (A)' no describe una conducta observable.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E4, contenidos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'Integridad académica: plagio, plagio IA… (A, T)' no opera ninguna herramienta (sería C, A). 'Descripción de los medios de exposición oral. (P)' es (C).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E3, contenidos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Casi todos llevan solo (P), incluidos enunciados conceptuales como 'Estructura general de la Tesis de Grado…'. Ningún contenido del E3 tiene (T), aunque se trabaja con bases de datos y gestores de referencias.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4.4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Conocimientos circunstanciales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4195"/>
        <w:gridCol w:w="3288"/>
      </w:tblGrid>
      <w:tr>
        <w:trPr>
          <w:tblHeader/>
        </w:trPr>
        <w:tc>
          <w:tcPr>
            <w:tcW w:type="dxa" w:w="187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Ubicación</w:t>
            </w:r>
          </w:p>
        </w:tc>
        <w:tc>
          <w:tcPr>
            <w:tcW w:type="dxa" w:w="419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Observación</w:t>
            </w:r>
          </w:p>
        </w:tc>
        <w:tc>
          <w:tcPr>
            <w:tcW w:type="dxa" w:w="328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Sugerencia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E1 y E3, conocimientos circunstanciales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'Reglamento General de Tipos y Modalidades de Graduación', 'Modalidades de graduación reconocidas por la Carrera' y 'Líneas de investigación institucionales' repiten contenidos de la misma asignatura (Temas 2 y 6). Las líneas de investigación ya figuran en CPA-204 (E2).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E2 (ensayo, artículo y monografía)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La redacción técnico-científica y la lectura de artículos ya se dictan en CPA-204 (Tema 3). El propio elemento los llama 'conocimientos complementarios'.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4.5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Otras observaciones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4195"/>
        <w:gridCol w:w="3288"/>
      </w:tblGrid>
      <w:tr>
        <w:trPr>
          <w:tblHeader/>
        </w:trPr>
        <w:tc>
          <w:tcPr>
            <w:tcW w:type="dxa" w:w="187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Ubicación</w:t>
            </w:r>
          </w:p>
        </w:tc>
        <w:tc>
          <w:tcPr>
            <w:tcW w:type="dxa" w:w="419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Observación</w:t>
            </w:r>
          </w:p>
        </w:tc>
        <w:tc>
          <w:tcPr>
            <w:tcW w:type="dxa" w:w="328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Sugerencia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E2 y pesos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El E2 (ensayo, artículo y monografía, ajeno a las modalidades de graduación) pesa 25 % y el E1 solo 10 %. Sus verbos (identifica, reconoce, describe) son de bajo nivel para quinto año.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Contenidos y actividades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La columna de contenidos no tiene la leyenda C/P/A/T. Las actividades usan el rótulo 'Clases' en lugar de 'En clase'. Los criterios y evidencias de E1 a E3 están parcialmente sin numerar.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Elemento de competencia 4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'Presenta el Perfil… presentando y fundamentando sus componentes' repite el verbo y le faltan los dos puntos tras el número.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6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5.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Valoración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El itinerario tiene rúbricas detalladas y una secuencia lógica hacia la presentación y defensa del perfil, pero solo es coherente con la tesis y el proyecto de grado. Deja sin producto el trabajo dirigido, que dicta en el Tema 12, y omite el diplomado y el PETAENG. El E2 (ensayo, artículo y monografía) pesa demasiado, repite CPA-204 y aporta poco a la graduación. Hay además numerosos errores de formato en las marcas y en la puntuación.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701" w:right="1134" w:bottom="1134" w:left="170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Century Gothic" w:hAnsi="Century Gothic" w:cs="Century Gothic" w:eastAsia="Century Gothic"/>
        <w:sz w:val="20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Borders>
        <w:top w:val="nil"/>
        <w:left w:val="nil"/>
        <w:bottom w:val="single" w:sz="6" w:space="0" w:color="000000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1247"/>
      <w:gridCol w:w="6911"/>
      <w:gridCol w:w="1247"/>
    </w:tblGrid>
    <w:tr>
      <w:tc>
        <w:tcPr>
          <w:tcW w:type="dxa" w:w="1247"/>
          <w:vAlign w:val="center"/>
        </w:tcPr>
        <w:p>
          <w:pPr>
            <w:spacing w:before="0" w:after="40" w:line="240" w:lineRule="auto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484248" cy="684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ums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4248" cy="68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911"/>
          <w:vAlign w:val="center"/>
        </w:tcPr>
        <w:p>
          <w:pPr>
            <w:spacing w:before="0" w:after="0" w:line="240" w:lineRule="auto"/>
            <w:jc w:val="center"/>
          </w:pPr>
          <w:r>
            <w:rPr>
              <w:rFonts w:ascii="Century Gothic" w:hAnsi="Century Gothic" w:cs="Century Gothic" w:eastAsia="Century Gothic"/>
              <w:b/>
              <w:sz w:val="22"/>
            </w:rPr>
            <w:t>Universidad Mayor de “San Andrés”</w:t>
            <w:br/>
          </w:r>
          <w:r>
            <w:rPr>
              <w:rFonts w:ascii="Century Gothic" w:hAnsi="Century Gothic" w:cs="Century Gothic" w:eastAsia="Century Gothic"/>
              <w:b/>
              <w:sz w:val="22"/>
            </w:rPr>
            <w:t>Facultad de Ciencias Económicas y Financieras</w:t>
            <w:br/>
          </w:r>
          <w:r>
            <w:rPr>
              <w:rFonts w:ascii="Century Gothic" w:hAnsi="Century Gothic" w:cs="Century Gothic" w:eastAsia="Century Gothic"/>
              <w:b/>
              <w:sz w:val="22"/>
            </w:rPr>
            <w:t>Carrera Contaduría Pública</w:t>
          </w:r>
        </w:p>
      </w:tc>
      <w:tc>
        <w:tcPr>
          <w:tcW w:type="dxa" w:w="1247"/>
          <w:vAlign w:val="center"/>
        </w:tcPr>
        <w:p>
          <w:pPr>
            <w:spacing w:before="0" w:after="40" w:line="240" w:lineRule="auto"/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445846" cy="68400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carrera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5846" cy="68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0">
    <w:multiLevelType w:val="hybridMultilevel"/>
    <w:lvl w:ilvl="0">
      <w:start w:val="1"/>
      <w:numFmt w:val="bullet"/>
      <w:lvlText w:val=""/>
      <w:lvlJc w:val="left"/>
      <w:pPr>
        <w:ind w:left="357" w:hanging="357"/>
      </w:pPr>
      <w:rPr>
        <w:rFonts w:ascii="Wingdings" w:hAnsi="Wingdings" w:cs="Wingdings" w:hint="default"/>
        <w:sz w:val="20"/>
      </w:rPr>
    </w:lvl>
    <w:lvl w:ilvl="1">
      <w:start w:val="1"/>
      <w:numFmt w:val="bullet"/>
      <w:lvlText w:val="–"/>
      <w:lvlJc w:val="left"/>
      <w:pPr>
        <w:ind w:left="720" w:hanging="283"/>
      </w:pPr>
      <w:rPr>
        <w:rFonts w:ascii="Century Gothic" w:hAnsi="Century Gothic" w:cs="Century Gothic" w:hint="default"/>
        <w:sz w:val="20"/>
      </w:rPr>
    </w:lvl>
    <w:lvl w:ilvl="2">
      <w:start w:val="1"/>
      <w:numFmt w:val="bullet"/>
      <w:lvlText w:val="·"/>
      <w:lvlJc w:val="left"/>
      <w:pPr>
        <w:ind w:left="1077" w:hanging="283"/>
      </w:pPr>
      <w:rPr>
        <w:rFonts w:ascii="Symbol" w:hAnsi="Symbol" w:cs="Symbol" w:hint="default"/>
        <w:sz w:val="20"/>
      </w:rPr>
    </w:lvl>
  </w:abstractNum>
  <w:abstractNum w:abstractNumId="901">
    <w:multiLevelType w:val="hybridMultilevel"/>
    <w:lvl w:ilvl="0">
      <w:start w:val="1"/>
      <w:numFmt w:val="lowerLetter"/>
      <w:lvlText w:val="%1."/>
      <w:lvlJc w:val="left"/>
      <w:pPr>
        <w:ind w:left="357" w:hanging="357"/>
      </w:pPr>
      <w:rPr>
        <w:rFonts w:ascii="Century Gothic" w:hAnsi="Century Gothic" w:cs="Century Gothic" w:hint="default"/>
        <w:b/>
        <w:sz w:val="20"/>
      </w:rPr>
    </w:lvl>
    <w:lvl w:ilvl="1">
      <w:start w:val="1"/>
      <w:numFmt w:val="bullet"/>
      <w:lvlText w:val=""/>
      <w:lvlJc w:val="left"/>
      <w:pPr>
        <w:ind w:left="720" w:hanging="357"/>
      </w:pPr>
      <w:rPr>
        <w:rFonts w:ascii="Wingdings" w:hAnsi="Wingdings" w:cs="Wingdings" w:hint="default"/>
        <w:sz w:val="20"/>
      </w:rPr>
    </w:lvl>
    <w:lvl w:ilvl="2">
      <w:start w:val="1"/>
      <w:numFmt w:val="bullet"/>
      <w:lvlText w:val="–"/>
      <w:lvlJc w:val="left"/>
      <w:pPr>
        <w:ind w:left="1077" w:hanging="283"/>
      </w:pPr>
      <w:rPr>
        <w:rFonts w:ascii="Century Gothic" w:hAnsi="Century Gothic" w:cs="Century Gothic" w:hint="default"/>
        <w:sz w:val="20"/>
      </w:rPr>
    </w:lvl>
  </w:abstractNum>
  <w:abstractNum w:abstractNumId="902">
    <w:multiLevelType w:val="hybridMultilevel"/>
    <w:lvl w:ilvl="0">
      <w:start w:val="1"/>
      <w:numFmt w:val="decimal"/>
      <w:lvlText w:val="%1."/>
      <w:lvlJc w:val="left"/>
      <w:pPr>
        <w:ind w:left="357" w:hanging="357"/>
      </w:pPr>
      <w:rPr>
        <w:rFonts w:ascii="Century Gothic" w:hAnsi="Century Gothic" w:cs="Century Gothic" w:hint="default"/>
        <w:b/>
        <w:sz w:val="20"/>
      </w:rPr>
    </w:lvl>
    <w:lvl w:ilvl="1">
      <w:start w:val="1"/>
      <w:numFmt w:val="lowerLetter"/>
      <w:lvlText w:val="%2."/>
      <w:lvlJc w:val="left"/>
      <w:pPr>
        <w:ind w:left="720" w:hanging="357"/>
      </w:pPr>
      <w:rPr>
        <w:rFonts w:ascii="Century Gothic" w:hAnsi="Century Gothic" w:cs="Century Gothic" w:hint="default"/>
        <w:b/>
        <w:sz w:val="20"/>
      </w:rPr>
    </w:lvl>
    <w:lvl w:ilvl="2">
      <w:start w:val="1"/>
      <w:numFmt w:val="bullet"/>
      <w:lvlText w:val=""/>
      <w:lvlJc w:val="left"/>
      <w:pPr>
        <w:ind w:left="1077" w:hanging="283"/>
      </w:pPr>
      <w:rPr>
        <w:rFonts w:ascii="Wingdings" w:hAnsi="Wingdings" w:cs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1">
    <w:abstractNumId w:val="90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Century Gothic" w:hAnsi="Century Gothic" w:cs="Century Gothic" w:eastAsia="Century Gothic"/>
      <w:sz w:val="20"/>
      <w:lang w:val="es-BO" w:eastAsia="es-B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