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Century Gothic" w:hAnsi="Century Gothic" w:cs="Century Gothic" w:eastAsia="Century Gothic"/>
          <w:b/>
          <w:i w:val="0"/>
          <w:sz w:val="28"/>
        </w:rPr>
        <w:t>Informe de Correcciones y Observaciones</w:t>
      </w:r>
    </w:p>
    <w:p>
      <w:pPr>
        <w:spacing w:before="0" w:after="360" w:line="240" w:lineRule="auto"/>
        <w:jc w:val="center"/>
      </w:pPr>
      <w:r>
        <w:rPr>
          <w:rFonts w:ascii="Century Gothic" w:hAnsi="Century Gothic" w:cs="Century Gothic" w:eastAsia="Century Gothic"/>
          <w:b/>
          <w:i w:val="0"/>
          <w:sz w:val="28"/>
        </w:rPr>
        <w:t>DER-201 Derecho Tributario y Legislación Aduanera</w:t>
      </w:r>
    </w:p>
    <w:p>
      <w:pPr>
        <w:spacing w:before="0" w:after="240" w:line="240" w:lineRule="auto"/>
        <w:jc w:val="center"/>
      </w:pPr>
      <w:r>
        <w:rPr>
          <w:rFonts w:ascii="Century Gothic" w:hAnsi="Century Gothic" w:cs="Century Gothic" w:eastAsia="Century Gothic"/>
          <w:b w:val="0"/>
          <w:i/>
          <w:sz w:val="20"/>
        </w:rPr>
        <w:t>Punto 4.5 Planes de asignatura, Rediseño Curricular</w:t>
      </w: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1.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Datos de la asignatura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236"/>
      </w:tblGrid>
      <w:tr>
        <w:trPr>
          <w:tblHeader/>
        </w:trPr>
        <w:tc>
          <w:tcPr>
            <w:tcW w:type="dxa" w:w="283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Dato</w:t>
            </w:r>
          </w:p>
        </w:tc>
        <w:tc>
          <w:tcPr>
            <w:tcW w:type="dxa" w:w="6236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Sigla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DER-201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Asignatura según la malla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Derecho Tributario y Legislación Aduanera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Área del itinerario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Derecho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Año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2.° año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Carga horaria y créditos de la malla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4 h/semana, 160 horas presenciales al año, 8 créditos y 240 horas de trabajo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Archivo recibido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DER-201.docx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Archivo corregido y formateado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4.5 Itinerarios formateados y corregidos / DER-201 Derecho Tributario y Legislación Aduanera.docx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2.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Correcciones aplicadas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Se corrigieron directamente, sin control de cambios, solo los errores imperdonables: ortografía, palabras repetidas o de más, espacios y puntuación, notas de trabajo y textos sobrantes. El resto del contenido se mantiene tal como lo redactaron los docentes.</w:t>
      </w: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2.1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Errores corregidos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3402"/>
        <w:gridCol w:w="3402"/>
        <w:gridCol w:w="737"/>
      </w:tblGrid>
      <w:tr>
        <w:trPr>
          <w:tblHeader/>
        </w:trPr>
        <w:tc>
          <w:tcPr>
            <w:tcW w:type="dxa" w:w="181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Tipo</w:t>
            </w:r>
          </w:p>
        </w:tc>
        <w:tc>
          <w:tcPr>
            <w:tcW w:type="dxa" w:w="340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Texto original</w:t>
            </w:r>
          </w:p>
        </w:tc>
        <w:tc>
          <w:tcPr>
            <w:tcW w:type="dxa" w:w="340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Corrección</w:t>
            </w:r>
          </w:p>
        </w:tc>
        <w:tc>
          <w:tcPr>
            <w:tcW w:type="dxa" w:w="73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Veces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ilicito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ilícito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2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sancion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sanción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2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la via administrativa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la vía administrativa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la valoración aduanera y la deuda razonable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la valoración aduanera y la duda razonable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Concepto, Características y Contenido del Derecho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Concepto, características y contenido del derecho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Concepto, Contenido y Fuentes de Derecho Tributario Internacional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Concepto, contenido y fuentes del derecho tributario internacional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por la Administración Tributaria y Mixta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por la Administración Tributaria y mixta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Clases de contravenciones: Omisión de inscripción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Clases de contravenciones: omisión de inscripción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Confunde evasión de elusión.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Confunde la evasión con la elusión.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subsumidos en la Norma Tributaria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subsumidos en la norma tributaria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2.2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Carga horaria y créditos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Se registraron las horas y los créditos de la malla curricular con créditos: 160 horas presenciales (HP) y un total de 240 horas de trabajo, que equivalen a 8 créditos de 30 horas. La diferencia entre el total y las horas presenciales se repartió entre HAA, HTG, HIP y HE en proporción a lo que había registrado el itinerario.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1077"/>
        <w:gridCol w:w="1077"/>
        <w:gridCol w:w="1077"/>
        <w:gridCol w:w="1077"/>
        <w:gridCol w:w="1077"/>
        <w:gridCol w:w="1077"/>
        <w:gridCol w:w="1077"/>
      </w:tblGrid>
      <w:tr>
        <w:trPr>
          <w:tblHeader/>
        </w:trPr>
        <w:tc>
          <w:tcPr>
            <w:tcW w:type="dxa" w:w="147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Versión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HP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HAA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HTG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HIP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HE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TOTAL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Créditos</w:t>
            </w:r>
          </w:p>
        </w:tc>
      </w:tr>
      <w:tr>
        <w:tc>
          <w:tcPr>
            <w:tcW w:type="dxa" w:w="147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Recibida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160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16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16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32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16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240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–</w:t>
            </w:r>
          </w:p>
        </w:tc>
      </w:tr>
      <w:tr>
        <w:tc>
          <w:tcPr>
            <w:tcW w:type="dxa" w:w="147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Corregida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160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16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16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32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16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240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8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2.3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Formato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Fuente Century Gothic en todo el documento.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Hoja carta con márgenes de 3 cm arriba y a la izquierda y de 2 cm a la derecha y abajo; encabezado institucional con los logos de la UMSA y de la Carrera, y número de página.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Tablas al ancho de la página, con rótulos en azul y letra blanca en negrita, cuerpo en azul claro y bordes azules.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Viñetas cuadradas e interlineado sencillo.</w:t>
      </w:r>
    </w:p>
    <w:p>
      <w:pPr>
        <w:numPr>
          <w:ilvl w:val="0"/>
          <w:numId w:val="901"/>
        </w:num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Se quitaron los resaltados (719 fragmentos).</w:t>
      </w: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3.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Resultado de la matriz de cumplimiento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Con las correcciones aplicadas, el itinerario cumple 15 de los 21 controles, cumple en parte 3 y no cumple 3.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2154"/>
        <w:gridCol w:w="1247"/>
        <w:gridCol w:w="5102"/>
      </w:tblGrid>
      <w:tr>
        <w:trPr>
          <w:tblHeader/>
        </w:trPr>
        <w:tc>
          <w:tcPr>
            <w:tcW w:type="dxa" w:w="85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Código</w:t>
            </w:r>
          </w:p>
        </w:tc>
        <w:tc>
          <w:tcPr>
            <w:tcW w:type="dxa" w:w="215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Control</w:t>
            </w:r>
          </w:p>
        </w:tc>
        <w:tc>
          <w:tcPr>
            <w:tcW w:type="dxa" w:w="124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Resultado</w:t>
            </w:r>
          </w:p>
        </w:tc>
        <w:tc>
          <w:tcPr>
            <w:tcW w:type="dxa" w:w="510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Datos generales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C2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Carga horaria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C3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Créditos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C4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Unidad de competencia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No 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sin procesos en gerundio; sin referencia al contexto boliviano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C5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Elementos y capítulos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C6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Número de elementos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C7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Dos criterios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C8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Evidencias de desempeño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C9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Evidencias de producto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C10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Marcas C, P, A, T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Parcial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6 contenidos sin punto antes de la marca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C11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Saberes A y T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No 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sin contenidos tecnológicos (T)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C12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Circunstanciales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C13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Actividades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C14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Rótulo de estrategias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C15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Tipos de evaluación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C16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Rúbricas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Parcial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11 rúbricas sin exactamente tres criterios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C17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Pesos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C18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Bibliografía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Parcial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2 de 15 referencias básicas anteriores a 2016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C19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Expresiones a evitar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No 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expresiones a evitar: «mediante» (1)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C20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Criterios de calificación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C21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Redacción de enunciados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Observaciones que se mantienen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Estas observaciones no se corrigieron porque tocan el contenido que redactaron los docentes. Quedan para que la comisión las evalúe.</w:t>
      </w: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4.1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Coherencia de la cadena de competencia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E1, Producto 2 / rúbrica, criterio 'Métodos de interpretación'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Los niveles están invertidos: el Suficiente ('Compara los resultados de cada método') exige más que el Destacado ('Aplica los métodos de interpretación en materia tributaria').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Suficiente: 'Aplica los métodos de interpretación'; Destacado: 'Compara los resultados de cada método y justifica el aplicable'.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E3, Producto 11 / rúbrica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 esquema del proceso de impugnación se evalúa con los criterios 'Ejecución tributaria' y 'Análisis de la resolución', que no corresponden a la evidencia 2.1 sino a otro contenido y al Producto 12.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Usar criterios del esquema: vías, recursos, plazos y autoridades competentes.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E3, criterio 2, evidencia 2.2 / Producto 12 y su rúbrica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La evidencia es individual en aula, pero la rúbrica evalúa 'Trabajo en equipo'; además el Destacado 'Análisis contable del contenido del recurso' no es una conducta y no corresponde al análisis jurídico de una resolución de la AIT.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Reemplazar por 'Extrae el criterio de la resolución y lo aplica a un caso similar' y retirar el trabajo en equipo o hacer grupal la evidencia.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E3, enunciado del elemento / criterio 1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 elemento dice 'Aplica el régimen sancionatorio', pero las evidencias 1.1 y 1.2 solo describen y comparan ilícitos; ninguna determina una sanción en un caso.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Reformular 1.2: 'Determina en equipo la sanción de una contravención y la calificación de un delito tributario en un caso'.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E5, criterio 1, evidencia 1.1 / Producto 17 y su rúbrica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 producto es un 'Cuadro de obligaciones tributarias aduaneras', pero la rúbrica evalúa el método de valoración y el Incoterm, que corresponden a la evidencia 1.2 y al Producto 18 (valor en aduana).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Evaluar el Producto 17 con criterios de sujetos, hecho generador y clases de obligaciones aduaneras.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E5, rúbrica del Producto 17 (criterio 'Incoterms')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Se exige ajustar el valor según el Incoterm, pero los Incoterms no figuran en los contenidos de E5.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Añadir un contenido 'Incoterms 2020 y su efecto en el valor en aduana. (C, P)'.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4.2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Aspectos técnicos y normativos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E5, evidencia 1.2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Dice 'deuda razonable'; la figura de la valoración aduanera es la 'duda razonable', como figura en los contenidos.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Corregir a 'duda razonable'.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E5, contenidos: 'Impuesto al Consumo Específico'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 impuesto de la Ley N° 843 se denomina Impuesto a los Consumos Específicos (ICE).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Usar 'Impuesto a los Consumos Específicos'.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E3, contenidos: 'Sanciones administrativas por incumplimiento del pago de tributos: intereses moratorios, mantenimiento de valor..., multa y clausura'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 mantenimiento de valor y los intereses no son sanciones sino componentes de la deuda tributaria (artículo 47 del Código Tributario), y la clausura no sanciona la falta de pago sino, entre otras, la no emisión de factura.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Separar 'Deuda tributaria: tributo omitido, mantenimiento de valor e intereses' de 'Sanciones: multa, clausura y otras'.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Bibliografía básica: 'Ley N° 031, de Autonomías y Descentralización'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 nombre oficial es Ley N° 031, Marco de Autonomías y Descentralización 'Andrés Ibáñez'.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Citar el nombre completo.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4.3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Marcas de saber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Asignatura en conjunto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No hay ningún contenido con (T), aunque la unidad de competencia anuncia 'herramientas digitales y fuentes oficiales' y las actividades prevén trámites ante el SIN y la VUCE; faltan contenidos como 'Consulta de normas y resoluciones en los portales del SIN y de la AIT' o 'Llenado de la declaración de mercancías en el sistema de la Aduana Nacional'.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Asignatura en conjunto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La asignatura es casi toda (C): solo hay un contenido (C, A), que describe principios constitucionales sin conducta observable, y E4 es íntegramente (C), aunque su evidencia 2.1 resuelve casos con los métodos de exención e imputación.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E3, contenidos: 'Clases de contravenciones: Omisión de inscripción... (P)'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Es una enumeración de contravenciones, cognitiva; la marca (P) sola no corresponde.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4.4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Conocimientos circunstanciales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E5, conocimientos circunstanciales: 'documentos del comercio exterior y de las cartas de crédito'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Las cartas de crédito se dictan en CPA-303 Contabilidad de Bancos y Entidades Financieras (operaciones contingentes).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4.5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Otras observaciones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Rúbricas de los Productos 2, 6, 7, 8, 9, 10, 14, 15, 17, 18 y 19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Tienen solo dos criterios, cuando la guía pide tres por rúbrica.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E3 (ilícitos y recursos de alzada y jerárquico)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Los ilícitos tributarios y los recursos de alzada, jerárquico y contencioso se repiten en CPA-503 Auditoría Tributaria; conviene acordar que DER-201 dé el fundamento jurídico y CPA-503 la aplicación en auditoría.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E1, E2, E3 y E4, contenidos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Varios contenidos no terminan en punto antes de la marca ('Actividad financiera del Estado (C)', 'Concepto del Derecho Tributario Material (C)', 'retroactividad e irretroactividad (C, P)', entre otros).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5.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Valoración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Itinerario de buen nivel técnico, con normativa boliviana actualizada (Código Tributario, Ley N° 843, Ley General de Aduanas, Decisión 578) y una cadena clara en E1, E2 y E4. Debe corregir varias rúbricas que evalúan otro producto (11, 12 y 17), el error 'deuda razonable' y el nombre del ICE, e incorporar contenidos procedimentales y tecnológicos, porque la asignatura queda casi toda en (C).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701" w:right="1134" w:bottom="1134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Century Gothic" w:hAnsi="Century Gothic" w:cs="Century Gothic" w:eastAsia="Century Gothic"/>
        <w:sz w:val="20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Borders>
        <w:top w:val="nil"/>
        <w:left w:val="nil"/>
        <w:bottom w:val="single" w:sz="6" w:space="0" w:color="000000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1247"/>
      <w:gridCol w:w="6911"/>
      <w:gridCol w:w="1247"/>
    </w:tblGrid>
    <w:tr>
      <w:tc>
        <w:tcPr>
          <w:tcW w:type="dxa" w:w="1247"/>
          <w:vAlign w:val="center"/>
        </w:tcPr>
        <w:p>
          <w:pPr>
            <w:spacing w:before="0" w:after="40" w:line="240" w:lineRule="auto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484248" cy="684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ums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4248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911"/>
          <w:vAlign w:val="center"/>
        </w:tcPr>
        <w:p>
          <w:pPr>
            <w:spacing w:before="0" w:after="0" w:line="240" w:lineRule="auto"/>
            <w:jc w:val="center"/>
          </w:pPr>
          <w:r>
            <w:rPr>
              <w:rFonts w:ascii="Century Gothic" w:hAnsi="Century Gothic" w:cs="Century Gothic" w:eastAsia="Century Gothic"/>
              <w:b/>
              <w:sz w:val="22"/>
            </w:rPr>
            <w:t>Universidad Mayor de “San Andrés”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Facultad de Ciencias Económicas y Financieras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Carrera Contaduría Pública</w:t>
          </w:r>
        </w:p>
      </w:tc>
      <w:tc>
        <w:tcPr>
          <w:tcW w:type="dxa" w:w="1247"/>
          <w:vAlign w:val="center"/>
        </w:tcPr>
        <w:p>
          <w:pPr>
            <w:spacing w:before="0" w:after="40" w:line="240" w:lineRule="auto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445846" cy="68400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carrera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5846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0">
    <w:multiLevelType w:val="hybridMultilevel"/>
    <w:lvl w:ilvl="0">
      <w:start w:val="1"/>
      <w:numFmt w:val="bullet"/>
      <w:lvlText w:val=""/>
      <w:lvlJc w:val="left"/>
      <w:pPr>
        <w:ind w:left="357" w:hanging="357"/>
      </w:pPr>
      <w:rPr>
        <w:rFonts w:ascii="Wingdings" w:hAnsi="Wingdings" w:cs="Wingdings" w:hint="default"/>
        <w:sz w:val="20"/>
      </w:rPr>
    </w:lvl>
    <w:lvl w:ilvl="1">
      <w:start w:val="1"/>
      <w:numFmt w:val="bullet"/>
      <w:lvlText w:val="–"/>
      <w:lvlJc w:val="left"/>
      <w:pPr>
        <w:ind w:left="720" w:hanging="283"/>
      </w:pPr>
      <w:rPr>
        <w:rFonts w:ascii="Century Gothic" w:hAnsi="Century Gothic" w:cs="Century Gothic" w:hint="default"/>
        <w:sz w:val="20"/>
      </w:rPr>
    </w:lvl>
    <w:lvl w:ilvl="2">
      <w:start w:val="1"/>
      <w:numFmt w:val="bullet"/>
      <w:lvlText w:val="·"/>
      <w:lvlJc w:val="left"/>
      <w:pPr>
        <w:ind w:left="1077" w:hanging="283"/>
      </w:pPr>
      <w:rPr>
        <w:rFonts w:ascii="Symbol" w:hAnsi="Symbol" w:cs="Symbol" w:hint="default"/>
        <w:sz w:val="20"/>
      </w:rPr>
    </w:lvl>
  </w:abstractNum>
  <w:abstractNum w:abstractNumId="901">
    <w:multiLevelType w:val="hybridMultilevel"/>
    <w:lvl w:ilvl="0">
      <w:start w:val="1"/>
      <w:numFmt w:val="lowerLetter"/>
      <w:lvlText w:val="%1."/>
      <w:lvlJc w:val="left"/>
      <w:pPr>
        <w:ind w:left="357" w:hanging="357"/>
      </w:pPr>
      <w:rPr>
        <w:rFonts w:ascii="Century Gothic" w:hAnsi="Century Gothic" w:cs="Century Gothic" w:hint="default"/>
        <w:b/>
        <w:sz w:val="20"/>
      </w:rPr>
    </w:lvl>
    <w:lvl w:ilvl="1">
      <w:start w:val="1"/>
      <w:numFmt w:val="bullet"/>
      <w:lvlText w:val=""/>
      <w:lvlJc w:val="left"/>
      <w:pPr>
        <w:ind w:left="720" w:hanging="357"/>
      </w:pPr>
      <w:rPr>
        <w:rFonts w:ascii="Wingdings" w:hAnsi="Wingdings" w:cs="Wingdings" w:hint="default"/>
        <w:sz w:val="20"/>
      </w:rPr>
    </w:lvl>
    <w:lvl w:ilvl="2">
      <w:start w:val="1"/>
      <w:numFmt w:val="bullet"/>
      <w:lvlText w:val="–"/>
      <w:lvlJc w:val="left"/>
      <w:pPr>
        <w:ind w:left="1077" w:hanging="283"/>
      </w:pPr>
      <w:rPr>
        <w:rFonts w:ascii="Century Gothic" w:hAnsi="Century Gothic" w:cs="Century Gothic" w:hint="default"/>
        <w:sz w:val="20"/>
      </w:rPr>
    </w:lvl>
  </w:abstractNum>
  <w:abstractNum w:abstractNumId="902">
    <w:multiLevelType w:val="hybridMultilevel"/>
    <w:lvl w:ilvl="0">
      <w:start w:val="1"/>
      <w:numFmt w:val="decimal"/>
      <w:lvlText w:val="%1."/>
      <w:lvlJc w:val="left"/>
      <w:pPr>
        <w:ind w:left="357" w:hanging="357"/>
      </w:pPr>
      <w:rPr>
        <w:rFonts w:ascii="Century Gothic" w:hAnsi="Century Gothic" w:cs="Century Gothic" w:hint="default"/>
        <w:b/>
        <w:sz w:val="20"/>
      </w:rPr>
    </w:lvl>
    <w:lvl w:ilvl="1">
      <w:start w:val="1"/>
      <w:numFmt w:val="lowerLetter"/>
      <w:lvlText w:val="%2."/>
      <w:lvlJc w:val="left"/>
      <w:pPr>
        <w:ind w:left="720" w:hanging="357"/>
      </w:pPr>
      <w:rPr>
        <w:rFonts w:ascii="Century Gothic" w:hAnsi="Century Gothic" w:cs="Century Gothic" w:hint="default"/>
        <w:b/>
        <w:sz w:val="20"/>
      </w:rPr>
    </w:lvl>
    <w:lvl w:ilvl="2">
      <w:start w:val="1"/>
      <w:numFmt w:val="bullet"/>
      <w:lvlText w:val=""/>
      <w:lvlJc w:val="left"/>
      <w:pPr>
        <w:ind w:left="1077" w:hanging="283"/>
      </w:pPr>
      <w:rPr>
        <w:rFonts w:ascii="Wingdings" w:hAnsi="Wingdings" w:cs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1">
    <w:abstractNumId w:val="90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entury Gothic" w:hAnsi="Century Gothic" w:cs="Century Gothic" w:eastAsia="Century Gothic"/>
      <w:sz w:val="20"/>
      <w:lang w:val="es-BO" w:eastAsia="es-B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