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ECO-201 Macroeconomía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ECO-201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Macroeconomía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Economía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ECO-201.docx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ECO-201 Macroeconomía.docx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Macroeconomia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Macroeconomía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Bogota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Bogotá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Gregorio, Jose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Gregorio, José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Larrain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Larraín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evaluando los efectos política fiscal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evaluando los efectos de la política fiscal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Equilibrio Macro Económico Abierto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Equilibrio Macroeconómico Abierto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Prentice,Hall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Prentice Hall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«2. El  modelo  Mundell-Fleming. Calcula el multipl…»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hs.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hs.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 hr.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hr.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1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(1 inversiones); 6 de 22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empieza con 'El  modelo  Mundell-Fleming.', un rótulo que no forma parte de un enunciado observable; ni las evidencias 2.1 y 2.2, ni los Productos 15 y 16, ni los contenidos del elemento tratan el modelo Mundell-Fleming.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un criterio propio ('Analiza con el modelo Mundell-Fleming los efectos de la política fiscal y monetaria en una economía abierta...') y añadir su contenido, evidencia y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 / E5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nueva unidad no menciona la política fiscal en el régimen autonómico, la salud financiera de las entidades públicas ni la planificación tributaria, que son todo el elemento 5 (25 % de la nota).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en la unidad el análisis de las finanzas públicas y del régimen autonómico boliviano.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 2.2 / Producto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mezcla la evaluación de un proyecto con VAN y TIR con el equilibrio ahorro-inversión; el VAN y la TIR son el objeto de ECO-301 y MAT-102 y no demuestran el criterio de deducir la función de inversión macroeconómica.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Centrar la evidencia en la función de inversión y la eficiencia marginal del capital y el equilibrio ahorro-inversión.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enunciado del elemento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es un párrafo que incluye 'para diseñar estrategias de planificación tributaria...', más extenso que la unidad de competencia; la guía pide una oración con verbo, objeto y condición.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Reducirlo a 'Analiza la política fiscal y las finanzas del sector público boliviano en el régimen autonómico, evaluando la sostenibilidad fiscal y la salud financiera de las entidades territoriales'.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básica: Fondo Monetario Internacional (2001) y (2014)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citan los dos Manuales de Estadísticas de las Finanzas Públicas; el de 2014 sustituye al de 2001.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Dejar solo el manual de 2014.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/ rúbrica del Producto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contenido sobre la elevación del encaje legal de 2026 por coyuntural, pero se mantiene la Resolución de Directorio N° 118/2026 del Banco Central de Bolivia en la bibliografía básica.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Retirarla o pasarla a la complementaria.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contenidos: 'El gasto público corriente y de capital; el Presupuesto General del Estado, su formulación y su ejecución. (P)'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un contenido conceptual marcado solo (P); corresponde (C) o (C, P) si se elabora un presupuesto.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contenidos: 'Significado y objetivos de la política fiscal... (C, P)'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hay procedimiento en el enunciado; la (P) no tiene sustento.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contenidos: 'Norma de Contabilidad N° 3, NIC 29 y criterios de una economía hiperinflacionaria'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ajuste por inflación (NC 3) y la NIC 29 se dictan en CPA-301 Contabilidad Internacional; en ECO-201 basta el efecto económico de la inflación.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contenidos: VAN, TIR y evaluación de un proyecto con hoja de cálculo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dictan en MAT-102 Matemáticas Financieras y en ECO-301 Preparación y Evaluación de Proyectos.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Tema 15 (competencias y dominio de los impuestos por nivel de gobierno)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organización territorial, las competencias y los impuestos de dominio nacional, departamental y municipal se dictan en DER-201 (E1, Producto 3), y el Presupuesto General del Estado y su ejecución en CPA-304.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3, 4, 7, 11, 15 y 17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cambio de 'Práctico' a 'Práctica' se aplicó solo a las evidencias de producto 3, 4 y 7; sus rúbricas y los Productos 11, 15 y 17 siguen con 'Práctico'.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 y actividades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conserva 'Terminología macroeconómica en inglés...' como contenido y en Investigación/Práctica, aunque la subcomisión eliminó la terminología monetaria en inglés porque 'los conceptos se desarrollan en español'; también queda el contenido fechado 'Balanza de pagos de Bolivia de 2025'.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está en orden alfabético (los cinco primeros textos van antes de 'Banco Central de Bolivia'), tiene una línea vacía y formato distinto; repite autores con ediciones antiguas en la complementaria (Mankiw 2007, Sachs y Larraín 2002) y escribe 'Dornbuch' y 'Greogory', mientras la complementaria escribe bien 'Dornbusch'.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«Blanchard, Olivier (2020) Macroeconomia»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«Blanchard, O. (2020). Macroeconomía»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rico y bien contextualizado en Bolivia (BCB, INE, régimen autonómico), con rúbricas específicas y buen uso de hojas de cálculo en E3 y E5. Necesita completar la incorporación de Mundell-Fleming, alinear la unidad de competencia con E5, depurar contenidos que se dictan en CPA-301, DER-201, MAT-102 y ECO-301, y ordenar la bibliografía básica.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