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MAT-102 Matemáticas Financieras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MAT-102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Matemáticas Financieras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9 créditos y 270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MAT-102.docx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MAT-102 Matemáticas Financieras.docx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mercado de valores: Concepto, función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mercado de valores: concepto, función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Simulador de inversiones en bolsa, (T)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Simulador de inversiones en bolsa. (T)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Tema10:Valoración de bonos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Tema 10: Valoración de bonos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270 horas de trabajo, que equivalen a 9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270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Arial).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quitaron los resaltados (1 fragmentos).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20 de los 21 controles, cumple en parte 1 y no cumple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3 de 10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 / Producto 4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exige 'el costo efectivo de la financiación vía proveedores', pero ninguna evidencia lo trabaja; la rúbrica del Producto 4 (actualización con UFV y tasa real) incluye un criterio 'Costo de proveedores' (descuento por pronto pago) que no corresponde a ese producto.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Crear una evidencia y un producto sobre el costo del crédito de proveedores, o retirar ese criterio de la rúbrica 4 y del criterio de desempeño.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1 / evidencia 1.2 / Producto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pide cuadros con periodos de gracia, tasas variables y amortizaciones anticipadas; la evidencia 1.2 (saldo insoluto y tanto efectivo) no responde a eso y ninguna evidencia trabaja las amortizaciones anticipadas.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Reorientar 1.2 a un cuadro con periodo de gracia o amortización anticipada, o ampliar el criterio al tanto efectivo.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 / evidencia 2.2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trata de fondos de amortización, pero el Producto 12 es la renegociación de una deuda con tabla reprogramada, que no usa un fondo de amortización.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Vincular la renegociación al fondo (por ejemplo, sustitución de la deuda por un fondo de amortización) o reformular el criterio.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incluye la evaluación de acciones, pero ninguna evidencia ni producto valora acciones (Productos 17 y 18: bono y proyecto).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la valoración de acciones en una evidencia o retirarla del criterio.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'Trabajo en equipo' describe la completitud del cuadro y la recomendación de la oferta, no la conducta del equipo.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niveles sobre la participación de los integrantes.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'Reembolso único con pago periódico de intereses o sistema in fine' y 'Sistema americano...' son el mismo sistema; 'Cuota de amortización constante' es el sistema alemán, que vuelve a figurar como 'Sistema alemán'. Se duplican conceptos con nombres distintos.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'Métodos de depreciación: línea recta, depreciación acelerada y suma de los dígitos' presenta la suma de dígitos como algo distinto de la depreciación acelerada, cuando es uno de sus métodos.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D.S. N° 24051 (Reglamento del IUE) solo es pertinente para los coeficientes de depreciación de su anexo; si no se usa con ese fin, es norma tributaria que corresponde a CPA-203.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marca (A) en 'Rentas en progresión aritmética enteras, ciertas y perpetuas...', 'Rentas en progresión aritmética anticipadas, vencidas y diferidas' y 'Amortización con cuotas en progresión aritmética y geométrica', contenidos de cálculo sin conducta actitudinal; deben ser (C, 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Toda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Salvo la línea final de Excel de cada tema, casi todos los contenidos son (C) aunque son cálculos (descuento, capitalización, rentas, sistemas de amortización, depreciación); deberían ser (C, 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'Simulador de inversiones en bolsa, (T)' lleva solo (T) y ninguna evidencia lo opera.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 completo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depreciación por línea recta, suma de dígitos y unidades producidas, y el agotamiento, se dictan en CPA-201 (E5, Producto 17 'Cuadro comparativo de depreciación por métodos'); el agotamiento minero se repite en CPA-401.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 / Tema 10 y Tema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VAN, la TIR, el periodo de recuperación y la valoración de bonos y acciones se repiten en ECO-301 y CPA-405; conviene que MAT-102 se limite al cálculo financiero de base.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Productos 3 y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'Informe de reprogramación de una deuda con ecuaciones de valor' e 'Informe de renegociación de deuda con la tabla reprogramada' evalúan casi la misma situación en dos elementos.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el itinerario más sólido del grupo: está anclado en el sistema financiero boliviano (ASFI, BCB, UFV, BBV), tiene normas bien citadas y rúbricas específicas. Sus debilidades son la marca (A) mal usada, el predominio de (C) y algunos criterios cuyas evidencias no cubren lo exigido (costo de proveedores, amortizaciones anticipadas, acciones). Además repite contenidos de CPA-201, ECO-301 y CPA-405.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