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Correcciones y Observaciones</w:t>
      </w:r>
    </w:p>
    <w:p>
      <w:pPr>
        <w:spacing w:before="0" w:after="360" w:line="240" w:lineRule="auto"/>
        <w:jc w:val="center"/>
      </w:pPr>
      <w:r>
        <w:rPr>
          <w:rFonts w:ascii="Century Gothic" w:hAnsi="Century Gothic" w:cs="Century Gothic" w:eastAsia="Century Gothic"/>
          <w:b/>
          <w:i w:val="0"/>
          <w:sz w:val="28"/>
        </w:rPr>
        <w:t>MAT-301 Estadística</w:t>
      </w:r>
    </w:p>
    <w:p>
      <w:pPr>
        <w:spacing w:before="0" w:after="240" w:line="240" w:lineRule="auto"/>
        <w:jc w:val="center"/>
      </w:pPr>
      <w:r>
        <w:rPr>
          <w:rFonts w:ascii="Century Gothic" w:hAnsi="Century Gothic" w:cs="Century Gothic" w:eastAsia="Century Gothic"/>
          <w:b w:val="0"/>
          <w:i/>
          <w:sz w:val="20"/>
        </w:rPr>
        <w:t>Punto 4.5 Planes de asignatura, Rediseño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Datos de la asignatura</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Detalle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Sigla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MAT-301</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Asignatura según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Estadística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 del itinerario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Matemáticas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Año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 año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Carga horaria y créditos de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 h/semana, 160 horas presenciales al año, 7 créditos y 210 horas de trabajo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recibido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MAT-301.docx</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corregido y formateado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Itinerarios formateados y corregidos / MAT-301 Estadística.docx</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Correcciones aplicadas</w:t>
      </w:r>
    </w:p>
    <w:p>
      <w:pPr>
        <w:spacing w:before="0" w:after="200" w:line="240" w:lineRule="auto"/>
        <w:jc w:val="both"/>
      </w:pPr>
      <w:r>
        <w:rPr>
          <w:rFonts w:ascii="Century Gothic" w:hAnsi="Century Gothic" w:cs="Century Gothic" w:eastAsia="Century Gothic"/>
          <w:b w:val="0"/>
          <w:i w:val="0"/>
          <w:sz w:val="20"/>
        </w:rPr>
        <w:t>Se corrigieron directamente, sin control de cambios, solo los errores imperdonables: ortografía, palabras repetidas o de más, espacios y puntuación, notas de trabajo y textos sobrantes. El resto del contenido se mantiene tal como lo redactaron los docentes.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2.1</w:t>
        <w:tab/>
      </w:r>
      <w:r>
        <w:rPr>
          <w:rFonts w:ascii="Century Gothic" w:hAnsi="Century Gothic" w:cs="Century Gothic" w:eastAsia="Century Gothic"/>
          <w:b/>
          <w:i w:val="0"/>
          <w:sz w:val="24"/>
        </w:rPr>
        <w:t>Errores corregidos</w:t>
      </w:r>
    </w:p>
    <w:tbl>
      <w:tblPr>
        <w:tblW w:type="auto" w:w="0"/>
        <w:jc w:val="center"/>
        <w:tblLayout w:type="fixed"/>
        <w:tblLook w:firstColumn="1" w:firstRow="1" w:lastColumn="0" w:lastRow="0" w:noHBand="0" w:noVBand="1" w:val="04A0"/>
      </w:tblPr>
      <w:tblGrid>
        <w:gridCol w:w="1814"/>
        <w:gridCol w:w="3402"/>
        <w:gridCol w:w="3402"/>
        <w:gridCol w:w="737"/>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 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Producto18</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Producto 18</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Calculo de límites de error</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Cálculo de límites de error</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en la forma de la distribuciones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en la forma de las distribuciones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Conjunto Partición de un espacio muestral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Partición de un espacio muestral</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 los resultados arribados u obtenidos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 los resultados obtenidos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Unidades Monetarias estados financieros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Unidades Monetarias en estados financieros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Video tutoriales del uso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Videotutoriales del uso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Espacios dobles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«1.1 Calcula muestras aleatorias simples, estratifi…»</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corrigió</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 antes de signo de puntuación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«Selecciona la función de ajuste más adecuada entre…»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corrigió</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Carga horaria y créditos</w:t>
      </w:r>
    </w:p>
    <w:p>
      <w:pPr>
        <w:spacing w:before="0" w:after="200" w:line="240" w:lineRule="auto"/>
        <w:jc w:val="both"/>
      </w:pPr>
      <w:r>
        <w:rPr>
          <w:rFonts w:ascii="Century Gothic" w:hAnsi="Century Gothic" w:cs="Century Gothic" w:eastAsia="Century Gothic"/>
          <w:b w:val="0"/>
          <w:i w:val="0"/>
          <w:sz w:val="20"/>
        </w:rPr>
        <w:t>Se registraron las horas y los créditos de la malla curricular con créditos: 160 horas presenciales (HP) y un total de 210 horas de trabajo, que equivalen a 7 créditos de 30 horas. La diferencia entre el total y las horas presenciales se repartió entre HAA, HTG, HIP y HE en proporción a lo que había registrado el itinerario.</w:t>
      </w:r>
    </w:p>
    <w:tbl>
      <w:tblPr>
        <w:tblW w:type="auto" w:w="0"/>
        <w:jc w:val="center"/>
        <w:tblLayout w:type="fixed"/>
        <w:tblLook w:firstColumn="1" w:firstRow="1" w:lastColumn="0" w:lastRow="0" w:noHBand="0" w:noVBand="1" w:val="04A0"/>
      </w:tblPr>
      <w:tblGrid>
        <w:gridCol w:w="1474"/>
        <w:gridCol w:w="1077"/>
        <w:gridCol w:w="1077"/>
        <w:gridCol w:w="1077"/>
        <w:gridCol w:w="1077"/>
        <w:gridCol w:w="1077"/>
        <w:gridCol w:w="1077"/>
        <w:gridCol w:w="1077"/>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Versión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HAA</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HTG</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HIP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HE</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Créditos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Recibida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Corregida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2.3</w:t>
        <w:tab/>
      </w:r>
      <w:r>
        <w:rPr>
          <w:rFonts w:ascii="Century Gothic" w:hAnsi="Century Gothic" w:cs="Century Gothic" w:eastAsia="Century Gothic"/>
          <w:b/>
          <w:i w:val="0"/>
          <w:sz w:val="24"/>
        </w:rPr>
        <w:t>Formato</w:t>
      </w:r>
    </w:p>
    <w:p>
      <w:pPr>
        <w:numPr>
          <w:ilvl w:val="0"/>
          <w:numId w:val="901"/>
        </w:numPr>
        <w:spacing w:before="0" w:after="160" w:line="240" w:lineRule="auto"/>
        <w:jc w:val="both"/>
      </w:pPr>
      <w:r>
        <w:rPr>
          <w:rFonts w:ascii="Century Gothic" w:hAnsi="Century Gothic" w:cs="Century Gothic" w:eastAsia="Century Gothic"/>
          <w:b w:val="0"/>
          <w:i w:val="0"/>
          <w:sz w:val="20"/>
        </w:rPr>
        <w:t>Fuente Century Gothic en todo el documento.</w:t>
      </w:r>
    </w:p>
    <w:p>
      <w:pPr>
        <w:numPr>
          <w:ilvl w:val="0"/>
          <w:numId w:val="901"/>
        </w:numPr>
        <w:spacing w:before="0" w:after="160" w:line="240" w:lineRule="auto"/>
        <w:jc w:val="both"/>
      </w:pPr>
      <w:r>
        <w:rPr>
          <w:rFonts w:ascii="Century Gothic" w:hAnsi="Century Gothic" w:cs="Century Gothic" w:eastAsia="Century Gothic"/>
          <w:b w:val="0"/>
          <w:i w:val="0"/>
          <w:sz w:val="20"/>
        </w:rPr>
        <w:t>Hoja carta con márgenes de 3 cm arriba y a la izquierda y de 2 cm a la derecha y abajo; encabezado institucional con los logos de la UMSA y de la Carrera, y número de página.</w:t>
      </w:r>
    </w:p>
    <w:p>
      <w:pPr>
        <w:numPr>
          <w:ilvl w:val="0"/>
          <w:numId w:val="901"/>
        </w:numPr>
        <w:spacing w:before="0" w:after="160" w:line="240" w:lineRule="auto"/>
        <w:jc w:val="both"/>
      </w:pPr>
      <w:r>
        <w:rPr>
          <w:rFonts w:ascii="Century Gothic" w:hAnsi="Century Gothic" w:cs="Century Gothic" w:eastAsia="Century Gothic"/>
          <w:b w:val="0"/>
          <w:i w:val="0"/>
          <w:sz w:val="20"/>
        </w:rPr>
        <w:t>Tablas al ancho de la página, con rótulos en azul y letra blanca en negrita, cuerpo en azul claro y bordes azules.</w:t>
      </w:r>
    </w:p>
    <w:p>
      <w:pPr>
        <w:numPr>
          <w:ilvl w:val="0"/>
          <w:numId w:val="901"/>
        </w:numPr>
        <w:spacing w:before="0" w:after="200" w:line="240" w:lineRule="auto"/>
        <w:jc w:val="both"/>
      </w:pPr>
      <w:r>
        <w:rPr>
          <w:rFonts w:ascii="Century Gothic" w:hAnsi="Century Gothic" w:cs="Century Gothic" w:eastAsia="Century Gothic"/>
          <w:b w:val="0"/>
          <w:i w:val="0"/>
          <w:sz w:val="20"/>
        </w:rPr>
        <w:t>Viñetas cuadradas e interlineado sencillo.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Resultado de la matriz de cumplimiento</w:t>
      </w:r>
    </w:p>
    <w:p>
      <w:pPr>
        <w:spacing w:before="0" w:after="200" w:line="240" w:lineRule="auto"/>
        <w:jc w:val="both"/>
      </w:pPr>
      <w:r>
        <w:rPr>
          <w:rFonts w:ascii="Century Gothic" w:hAnsi="Century Gothic" w:cs="Century Gothic" w:eastAsia="Century Gothic"/>
          <w:b w:val="0"/>
          <w:i w:val="0"/>
          <w:sz w:val="20"/>
        </w:rPr>
        <w:t>Con las correcciones aplicadas, el itinerario cumple 14 de los 21 controles, cumple en parte 2 y no cumple 5.</w:t>
      </w:r>
    </w:p>
    <w:tbl>
      <w:tblPr>
        <w:tblW w:type="auto" w:w="0"/>
        <w:jc w:val="center"/>
        <w:tblLayout w:type="fixed"/>
        <w:tblLook w:firstColumn="1" w:firstRow="1" w:lastColumn="0" w:lastRow="0" w:noHBand="0" w:noVBand="1" w:val="04A0"/>
      </w:tblPr>
      <w:tblGrid>
        <w:gridCol w:w="850"/>
        <w:gridCol w:w="2154"/>
        <w:gridCol w:w="1247"/>
        <w:gridCol w:w="5102"/>
      </w:tblGrid>
      <w:tr>
        <w:trPr>
          <w:tblHeader/>
        </w:trPr>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Código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Resultado</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Datos generales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Carga horaria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Créditos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 de competencia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Parcial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sin referencia al contexto boliviano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Elementos y capítulos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Número de elementos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Dos criterios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desempeño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Parcial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4 evidencias, sin numeración completa (numeración 1.1, 1.2, 2.1)</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producto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C, P, A,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Saberes A y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Circunstanciales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Actividades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falta la columna «En clase»; 4 columnas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Rótulo de estrategias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rótulo «Estrategias de aprendizaje»</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Tipos de evaluación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6 rúbricas para 24 productos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Pesos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 fuera de orden alfabético (2 inversiones); 3 de 4 referencias básicas anteriores a 2016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Expresiones a evitar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expresiones a evitar: «mediante» (3)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Criterios de calificación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Redacción de enunciados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Observaciones que se mantienen</w:t>
      </w:r>
    </w:p>
    <w:p>
      <w:pPr>
        <w:spacing w:before="0" w:after="200" w:line="240" w:lineRule="auto"/>
        <w:jc w:val="both"/>
      </w:pPr>
      <w:r>
        <w:rPr>
          <w:rFonts w:ascii="Century Gothic" w:hAnsi="Century Gothic" w:cs="Century Gothic" w:eastAsia="Century Gothic"/>
          <w:b w:val="0"/>
          <w:i w:val="0"/>
          <w:sz w:val="20"/>
        </w:rPr>
        <w:t>Estas observaciones no se corrigieron porque tocan el contenido que redactaron los docentes. Quedan para que la comisión las evalúe.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Coherencia de la cadena de competencia</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criterio 1 / evidencia 1.2 / Producto 10</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criterio y la evidencia 1.2 tratan de distribuciones discretas, pero el Producto 10 es de una variable aleatoria continua. La evidencia 1.2 incluye además Pascal e hipergeométrica, que no están en los contenidos.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Separar la evidencia 1.2 para la distribución normal (continua) y añadir Pascal e hipergeométrica a los contenidos, o retirarlas.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criterio 2 / evidencia 2.2 / Producto 12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2.2 no lleva número y repite la 2.1 (Bayes en aula); el Producto 12 ('aplicación de un modelo probabilístico a la profesión contable') no corresponde a Bayes.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Diferenciar la 2.2 (por ejemplo, Bayes aplicado a la revisión de un riesgo de auditoría) y ajustar su producto.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criterio 1 / Productos 13 y 14</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1.1 usa SPSS, R o Python, pero el Producto 13 dice 'mediante el uso de programa de Excel'. El Producto 14 (límites de error de estimación) no resulta de la evidencia 1.2, que pide interpretar y distinguir tipos de muestras.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Unificar el software y alinear el Producto 14 con su evidencia.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criterios 1 y 2 / Productos 17 a 20</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productos están cruzados: la evidencia 1.1 formula hipótesis, pero el Producto 17 analiza resultados; la evidencia 1.2 trata una media o proporción, pero el Producto 18 es la diferencia entre dos medias; el criterio 2 trata la diferencia entre dos poblaciones, pero las evidencias 2.1 y 2.2 y los Productos 19 y 20 prueban una sola media.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Reasignar: los criterios 1 (una población) y 2 (dos poblaciones) con sus productos correspondientes.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E6, criterio 2 / Producto 24</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producto pide un 'Análisis de fiabilidad' de la escala de Likert (por ejemplo, alfa de Cronbach), pero ningún contenido lo enseña.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Añadir el contenido de fiabilidad o cambiar el producto.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Niveles de logro</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Las rúbricas son seis, una por elemento, rotuladas 'Producto 1' a 'Producto 6', mientras los productos del itinerario son 24; por ejemplo, 'Producto 2: Correlación y regresión' choca con el Producto 2 'Distribución de frecuencias'.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Elaborar una rúbrica por producto con la numeración correlativa del itinerario.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evidencia 2.1 / Producto 3</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producto incluye medidas de apuntamiento que la evidencia 2.1 no calcula (corresponden a la 2.2).</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Retirar el apuntamiento del Producto 3.</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Aspectos técnicos y normativos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 de competencia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'utilizando muestras insesgadas, consistentes, eficientes y de máxima verosimilitud' es un error conceptual: insesgadez, consistencia y eficiencia son propiedades de los estimadores, y la máxima verosimilitud es un método de estimación, no un tipo de muestra.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criterio 1</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Incluye la distribución normal entre las 'distribuciones de probabilidad discreta'; la normal es continua. La evidencia 1.2 también llama 'discreta' a la normal estandarizada.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criterio 1 y contenidos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'Pruebas bilaterales y unilaterales para la estimación de la media...': una prueba de hipótesis contrasta, no estima. Debe decir 'para el contraste de la media...' (la estimación es por intervalos).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 'Producto 5: Docimasia'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'ya sea rechazando la hipótesis nula o aceptándola': en rigor no se acepta H0, se dice que no se rechaza.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 'Producto 3'</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Destacado: 'Analiza el efecto de la media y la desviación típica en la forma de la distribuciones normal estándar, t-Student, F de Fisher'. La normal estándar tiene media 0 y desviación 1 fijas, y la forma de la t y la F depende de los grados de libertad.</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E6, contenidos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'Coeficientes de regresión o regresores' es incorrecto: los regresores son las variables explicativas, no los coeficientes. El supuesto es la 'ausencia de multicolinealidad', no la 'multicolinealidad entre los regresores'.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E6, evidencia 2.2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'una matriz de doble entrada denominada escala de Likert': la escala de Likert es una escala de respuesta ordinal de un cuestionario, no una matriz de doble entrada.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evidencia 2.2 / Producto 16</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tamaño de la muestra se determina con el nivel de confianza, el error admisible y la variabilidad, no con 'los niveles de significancia de cada modelo'.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NIA 530 se titula 'Muestreo de auditoría' y no 'Muestreo estadístico de auditoría'.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Handbook del IAASB figura como '(2023) ... Edición 2021', datos contradictorios, y con el título antiguo ('Quality Control'); desde la edición 2022 es 'Handbook of International Quality Management...'. Además, una obra de normas de auditoría no es bibliografía básica de Estadística.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está en orden alfabético (IAASB, Anderson, Walpole, Kazmier) y usa ediciones antiguas: Walpole y Myers 1992, 3.ª ed.; Kazmier 1998; Anderson 2003.</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dato del Censo 2024 '11.365.333 habitantes' debe verificarse con la publicación oficial del INE (la cifra difundida en 2024 fue 11.312.620). En todo caso, una cifra puntual no es un conocimiento circunstancial.</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 'Producto 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Destacado menciona la regresión 'inversa', que no figura en los contenidos.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Marcas de saber</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contenidos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'Supuestos y límites del modelo de regresión: correlación frente a causalidad...' va con (C, A), pero es contenido cognitivo y procedimental, sin una conducta actitudinal observable.</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w:t>
        <w:tab/>
      </w:r>
      <w:r>
        <w:rPr>
          <w:rFonts w:ascii="Century Gothic" w:hAnsi="Century Gothic" w:cs="Century Gothic" w:eastAsia="Century Gothic"/>
          <w:b/>
          <w:i w:val="0"/>
          <w:sz w:val="24"/>
        </w:rPr>
        <w:t>Conocimientos circunstanciales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'Norma Internacional de Auditoría 530' y el 'Muestreo por Unidades Monetarias' se dictan en CPA-407 Auditoría Financiera (y la MUM en CPA-502); no son circunstanciales de Estadística.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'Aplicaciones de la variable aleatoria en la teoría de juegos' no es necesaria para los contenidos del elemento.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4.5</w:t>
        <w:tab/>
      </w:r>
      <w:r>
        <w:rPr>
          <w:rFonts w:ascii="Century Gothic" w:hAnsi="Century Gothic" w:cs="Century Gothic" w:eastAsia="Century Gothic"/>
          <w:b/>
          <w:i w:val="0"/>
          <w:sz w:val="24"/>
        </w:rPr>
        <w:t>Otras observaciones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Actividades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Falta la columna 'En clase' (solo hay cuatro columnas).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Estrategias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rótulo dice 'Estrategias de aprendizaje' en lugar de 'Estrategias de aprendizaje y enseñanza'.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Temas 9 y 10</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muestreo de atributos, el muestreo de variables, la MUM y la 'Documentación del muestreo en los papeles de trabajo electrónicos' repiten CPA-407, que dicta las mismas técnicas con la NIA 530.</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Verbos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criterio 1 de E4 ('Identifica') y el criterio 1 de E6 ('Describe') usan verbos de nivel bajo para tercer año.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Valoración</w:t>
      </w:r>
    </w:p>
    <w:p>
      <w:pPr>
        <w:spacing w:before="0" w:after="200" w:line="240" w:lineRule="auto"/>
        <w:jc w:val="both"/>
      </w:pPr>
      <w:r>
        <w:rPr>
          <w:rFonts w:ascii="Century Gothic" w:hAnsi="Century Gothic" w:cs="Century Gothic" w:eastAsia="Century Gothic"/>
          <w:b w:val="0"/>
          <w:i w:val="0"/>
          <w:sz w:val="20"/>
        </w:rPr>
        <w:t>Los contenidos son amplios y actuales (R, Python, depuración de datos, ética en el manejo de datos), pero la cadena de evidencias falla en E3, E4 y E5, donde los productos no corresponden a sus evidencias. Las rúbricas son seis, por elemento, en lugar de una por producto. Hay errores conceptuales relevantes: estimadores tomados por muestras, la normal llamada discreta, pruebas de hipótesis 'para estimar', regresores confundidos con coeficientes y la escala de Likert descrita como matriz. Además repite el muestreo de auditoría de CPA-407.</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