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line="240" w:lineRule="auto"/>
        <w:jc w:val="center"/>
      </w:pPr>
      <w:r>
        <w:rPr>
          <w:rFonts w:ascii="Century Gothic" w:hAnsi="Century Gothic" w:cs="Century Gothic" w:eastAsia="Century Gothic"/>
          <w:b/>
          <w:sz w:val="28"/>
        </w:rPr>
        <w:t>Diseño Curricular</w:t>
      </w:r>
    </w:p>
    <w:p>
      <w:pPr>
        <w:spacing w:before="0" w:after="360" w:line="240" w:lineRule="auto"/>
        <w:jc w:val="center"/>
      </w:pPr>
      <w:r>
        <w:rPr>
          <w:rFonts w:ascii="Century Gothic" w:hAnsi="Century Gothic" w:cs="Century Gothic" w:eastAsia="Century Gothic"/>
          <w:b/>
          <w:sz w:val="28"/>
        </w:rPr>
        <w:t>Aspectos Académicos</w:t>
      </w:r>
    </w:p>
    <w:p w14:paraId="2C688842" w14:textId="77777777" w:rsidR="00EE70B8" w:rsidRDefault="00C15354">
      <w:pPr>
        <w:spacing w:after="60" w:line="240" w:lineRule="auto"/>
        <w:rPr>
          <w:rFonts w:ascii="Century Gothic" w:hAnsi="Century Gothic" w:cs="Century Gothic" w:eastAsia="Century Gothic"/>
          <w:sz w:val="20"/>
          <w:szCs w:val="20"/>
        </w:rPr>
      </w:pPr>
      <w:r>
        <w:rPr>
          <w:rFonts w:ascii="Century Gothic" w:hAnsi="Century Gothic" w:cs="Century Gothic" w:eastAsia="Century Gothic"/>
          <w:i/>
          <w:iCs/>
          <w:sz w:val="20"/>
          <w:szCs w:val="20"/>
        </w:rPr>
        <w:t>Nivel: Licenciatura en Contaduría Pública</w:t>
      </w:r>
    </w:p>
    <w:p w14:paraId="41400AEB" w14:textId="77777777" w:rsidR="00EE70B8" w:rsidRDefault="00C15354">
      <w:pPr>
        <w:spacing w:after="60" w:line="240" w:lineRule="auto"/>
        <w:jc w:val="center"/>
        <w:rPr>
          <w:rFonts w:ascii="Century Gothic" w:hAnsi="Century Gothic" w:cs="Century Gothic" w:eastAsia="Century Gothic"/>
          <w:sz w:val="20"/>
          <w:szCs w:val="20"/>
        </w:rPr>
      </w:pPr>
      <w:r>
        <w:rPr>
          <w:rFonts w:ascii="Century Gothic" w:hAnsi="Century Gothic" w:cs="Century Gothic" w:eastAsia="Century Gothic"/>
          <w:b/>
          <w:bCs/>
          <w:sz w:val="20"/>
          <w:szCs w:val="20"/>
        </w:rPr>
        <w:t>TERCER AÑO</w:t>
      </w:r>
    </w:p>
    <w:tbl>
      <w:tblPr>
        <w:tblW w:w="9405" w:type="dxa"/>
        <w:jc w:val="cente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00" w:firstRow="0" w:lastRow="0" w:firstColumn="0" w:lastColumn="0" w:noHBand="0" w:noVBand="1"/>
      </w:tblPr>
      <w:tblGrid>
        <w:gridCol w:w="1175"/>
        <w:gridCol w:w="391"/>
        <w:gridCol w:w="391"/>
        <w:gridCol w:w="391"/>
        <w:gridCol w:w="783"/>
        <w:gridCol w:w="391"/>
        <w:gridCol w:w="391"/>
        <w:gridCol w:w="783"/>
        <w:gridCol w:w="783"/>
        <w:gridCol w:w="391"/>
        <w:gridCol w:w="391"/>
        <w:gridCol w:w="391"/>
        <w:gridCol w:w="391"/>
        <w:gridCol w:w="398"/>
        <w:gridCol w:w="385"/>
        <w:gridCol w:w="1567"/>
      </w:tblGrid>
      <w:tr w:rsidR="00EE70B8" w14:paraId="1F2AA015"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0EFA306"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Asignatura</w:t>
            </w:r>
          </w:p>
        </w:t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44E0C3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Sigla</w:t>
            </w:r>
          </w:p>
        </w:tc>
        <w:tc>
          <w:tcPr>
            <w:tcW w:w="2351"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137C7E4"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Nivel/Área</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3FC3FDC"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Prerrequisito</w:t>
            </w:r>
          </w:p>
        </w:tc>
      </w:tr>
      <w:tr w:rsidR="00EE70B8" w14:paraId="65EE5F5A"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14C123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Contabilidad de Bancos y Entidades Financieras</w:t>
            </w:r>
          </w:p>
        </w:tc>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E634729"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CPA-303</w:t>
            </w:r>
          </w:p>
        </w:tc>
        <w:tc>
          <w:tcPr>
            <w:tcW w:w="2351"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1ADA372"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Información Financiera</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D64250E"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CPA-201, CPA-202, CPA-203</w:t>
            </w:r>
          </w:p>
        </w:tc>
      </w:tr>
      <w:tr w:rsidR="00EE70B8" w14:paraId="410E3ADC" w14:textId="77777777">
        <w:tc>
          <w:tcPr>
            <w:tcW w:w="7053"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4CCF4A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Carga Horaria</w:t>
            </w:r>
          </w:p>
        </w:tc>
        <w:tc>
          <w:tcPr>
            <w:tcW w:w="2351"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5D2BFA0"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Créditos</w:t>
            </w:r>
          </w:p>
        </w:tc>
      </w:tr>
      <w:tr w:rsidR="00EE70B8" w14:paraId="4E196B40" w14:textId="77777777">
        <w:tc>
          <w:tcPr>
            <w:tcW w:w="1175"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9F4ECAD"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HP</w:t>
            </w:r>
          </w:p>
        </w:tc>
        <w:tc>
          <w:tcPr>
            <w:tcW w:w="11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4289220"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HAA</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37A90F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HTG</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0184E8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HIP</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F89D2CF"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HE</w:t>
            </w:r>
          </w:p>
        </w:tc>
        <w:tc>
          <w:tcPr>
            <w:tcW w:w="11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5691E6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TOTAL</w:t>
            </w:r>
          </w:p>
        </w:tc>
        <w:tc>
          <w:tcPr>
            <w:tcW w:w="2351" w:type="dxa"/>
            <w:gridSpan w:val="3"/>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CC008AB" w14:textId="77777777" w:rsidR="00EE70B8" w:rsidRDefault="00EE70B8">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8</w:t>
            </w:r>
          </w:p>
        </w:tc>
      </w:tr>
      <w:tr w:rsidR="00EE70B8" w14:paraId="1C311F04" w14:textId="77777777">
        <w:tc>
          <w:tcPr>
            <w:tcW w:w="1175" w:type="dxa"/>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0345C01"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160</w:t>
            </w:r>
          </w:p>
        </w:tc>
        <w:tc>
          <w:tcPr>
            <w:tcW w:w="1175"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3BA5F77"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FED2E8D"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32</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91F944B"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5"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B88B625" w14:textId="77777777" w:rsidR="00EE70B8" w:rsidRPr="00C15354" w:rsidRDefault="00C15354">
            <w:pPr>
              <w:spacing w:before="20" w:after="20" w:line="240" w:lineRule="auto"/>
              <w:jc w:val="center"/>
              <w:rPr>
                <w:rFonts w:ascii="Century Gothic" w:hAnsi="Century Gothic" w:cs="Century Gothic" w:eastAsia="Century Gothic"/>
                <w:b/>
                <w:color w:val="FFFFFF"/>
                <w:sz w:val="18"/>
                <w:szCs w:val="18"/>
              </w:rPr>
            </w:pPr>
            <w:r>
              <w:rPr>
                <w:rFonts w:ascii="Century Gothic" w:hAnsi="Century Gothic" w:cs="Century Gothic" w:eastAsia="Century Gothic"/>
                <w:b/>
                <w:color w:val="FFFFFF"/>
                <w:sz w:val="18"/>
                <w:szCs w:val="18"/>
              </w:rPr>
              <w:t>16</w:t>
            </w:r>
          </w:p>
        </w:tc>
        <w:tc>
          <w:tcPr>
            <w:tcW w:w="1175"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6C08C6B"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240</w:t>
            </w:r>
          </w:p>
        </w:tc>
        <w:tc>
          <w:tcPr>
            <w:tcW w:w="2351" w:type="dxa"/>
            <w:gridSpan w:val="3"/>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3D7E32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r>
      <w:tr w:rsidR="00EE70B8" w14:paraId="6F8AD196"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37F8E82"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Competencia</w:t>
            </w:r>
          </w:p>
        </w:tc>
      </w:tr>
      <w:tr w:rsidR="00EE70B8" w14:paraId="353755BC" w14:textId="77777777">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B9768D2"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 Registra las transacciones contables de los bancos y las entidades financieras del Sistema Financiero Nacional para la elaboración de estados financieros conforme al Manual de Cuentas de la Autoridad de Supervisión del Sistema Financiero y a las Normas de Contabilidad Generalmente Aceptadas en Bolivia, de las operaciones activas, pasivas, de servicio y financieras que realiza un banco.  </w:t>
            </w:r>
          </w:p>
          <w:p w14:paraId="3A9D078C"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Describe la estructura del sistema financiero y la banca digital con transparencia, rigor técnico, prevención de la legitimación de ganancias ilícitas y apego a la normativa regulatoria y legal vigente en el país.</w:t>
            </w:r>
          </w:p>
        </w:tc>
      </w:tr>
      <w:tr w:rsidR="00EE70B8" w14:paraId="1AEDD3F6" w14:textId="77777777">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6E0D8E7"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1: </w:t>
            </w:r>
            <w:r>
              <w:rPr>
                <w:rFonts w:ascii="Century Gothic" w:hAnsi="Century Gothic" w:cs="Century Gothic" w:eastAsia="Century Gothic"/>
                <w:sz w:val="18"/>
                <w:szCs w:val="18"/>
              </w:rPr>
              <w:t>Describe la estructura del Sistema Financiero Nacional, la clasificación de los bancos y los requisitos de constitución y funcionamiento de las entidades financieras, de acuerdo con la normativa de la Autoridad de Supervisión del Sistema Financiero, y registra las operaciones de disponibilidades y de la cámara de compensación de una entidad financiera, interpretando el saldo de las cuentas y su exposición.</w:t>
            </w:r>
          </w:p>
        </w:tc>
      </w:tr>
      <w:tr w:rsidR="00EE70B8" w14:paraId="4633FC2F"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0E9472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05A90C3"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D703F2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23075D5F"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35E7BB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la estructura del Sistema Financiero Nacional, la normativa y los manuales de la ASFI aplicables, y los requisitos y la forma de constitución de una entidad financiera, exponiendo los rubros en los estados financieros.</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6ABC80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Elabora en equipo el esquema del sistema financiero y describe, según la normativa aplicable de la ASFI, la forma de constitución, los requisitos, el capital mínimo y la licencia de funcionamiento de una entidad financiera.</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5C8986D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 </w:t>
            </w:r>
            <w:r>
              <w:rPr>
                <w:rFonts w:ascii="Century Gothic" w:hAnsi="Century Gothic" w:cs="Century Gothic" w:eastAsia="Century Gothic"/>
                <w:sz w:val="18"/>
                <w:szCs w:val="18"/>
              </w:rPr>
              <w:t>Esquema del sistema financiero boliviano y de la constitución de una entidad financiera según la normativa aplicable de la ASFI.</w:t>
            </w:r>
          </w:p>
        </w:tc>
      </w:tr>
      <w:tr w:rsidR="00EE70B8" w14:paraId="7D5EAB44"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95C8D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4947F82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Aplica el Manual de Cuentas y las normas de valuación de la ASFI (grupos, cuentas y subcuentas) y expone en los estados financieros los diferentes rubros en un caso práctico.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6908457D"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2: </w:t>
            </w:r>
            <w:r>
              <w:rPr>
                <w:rFonts w:ascii="Century Gothic" w:hAnsi="Century Gothic" w:cs="Century Gothic" w:eastAsia="Century Gothic"/>
                <w:sz w:val="18"/>
                <w:szCs w:val="18"/>
              </w:rPr>
              <w:t>Exposición en los estados financieros de los diferentes rubros expuestos en los manuales de la ASFI.</w:t>
            </w:r>
          </w:p>
        </w:tc>
      </w:tr>
      <w:tr w:rsidR="00EE70B8" w14:paraId="21DC9090"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3DD4E4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Registra las operaciones generales y rutinarias de una entidad financiera (disponibilidades y cámara de compensación), interpretando sus saldos, regularizando faltantes y sobrantes de caja y liquidando cheques y pagos electrónicos, y las expone en los estados financieros.</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4C100BD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2.1 Desarrolla en equipo, en aula, prácticas de disponibilidades y expone sus saldos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1EA4584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3: </w:t>
            </w:r>
            <w:r>
              <w:rPr>
                <w:rFonts w:ascii="Century Gothic" w:hAnsi="Century Gothic" w:cs="Century Gothic" w:eastAsia="Century Gothic"/>
                <w:sz w:val="18"/>
                <w:szCs w:val="18"/>
              </w:rPr>
              <w:t>Práctica de disponibilidades con su respectiva exposición en los estados financieros.</w:t>
            </w:r>
          </w:p>
        </w:tc>
      </w:tr>
      <w:tr w:rsidR="00EE70B8" w14:paraId="0A7C3749"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5A2B13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6D746636"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Elabora en equipo la práctica de registros de la cámara de compensación (primera y segunda cámara), cuadros, y expone sus saldos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2582156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4: </w:t>
            </w:r>
            <w:r>
              <w:rPr>
                <w:rFonts w:ascii="Century Gothic" w:hAnsi="Century Gothic" w:cs="Century Gothic" w:eastAsia="Century Gothic"/>
                <w:sz w:val="18"/>
                <w:szCs w:val="18"/>
              </w:rPr>
              <w:t>Práctica de registros de la cámara de compensación con tablas y cuadros, y su exposición en los estados financieros.</w:t>
            </w:r>
          </w:p>
        </w:tc>
      </w:tr>
      <w:tr w:rsidR="00EE70B8" w14:paraId="71116C4B"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A61B2B3"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115727C6"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4746F5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1DFF3E9"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479CF7ED"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BE0277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751CEAB2" w14:textId="77777777">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579D9019"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Tema 1: El Sistema Financiero</w:t>
            </w:r>
          </w:p>
          <w:p w14:paraId="52ADFFA0"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 Bancos</w:t>
            </w:r>
          </w:p>
          <w:p w14:paraId="78347038"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3: Normas y Políticas Contables para Bancos y Entidades Financieras</w:t>
            </w:r>
          </w:p>
          <w:p w14:paraId="0EC1FF0C"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4: Constitución de Bancos y Entidades Financieras</w:t>
            </w:r>
          </w:p>
          <w:p w14:paraId="436215A6"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5: Disponibilidades</w:t>
            </w:r>
          </w:p>
          <w:p w14:paraId="24E5542D"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6: Cámara de Compensación</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0CDB1825"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w:t>
            </w:r>
          </w:p>
          <w:p w14:paraId="4C39F618"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Introducción y concepto del sistema financiero. (C)</w:t>
            </w:r>
          </w:p>
          <w:p w14:paraId="66A2C87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Elementos del sistema financiero. (C)</w:t>
            </w:r>
          </w:p>
          <w:p w14:paraId="0DF15D9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Sistema de intermediación financiera. (C, A)</w:t>
            </w:r>
          </w:p>
          <w:p w14:paraId="7FA033F5"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2:</w:t>
            </w:r>
          </w:p>
          <w:p w14:paraId="3FF6307F"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Introducción al concepto de banco y clasificación de la banca. (C)</w:t>
            </w:r>
          </w:p>
          <w:p w14:paraId="62AF409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Clasificación de las entidades. (C)</w:t>
            </w:r>
          </w:p>
          <w:p w14:paraId="784DD37E"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Operaciones de un banco, operaciones financieras y organización de las entidades financieras. (C)</w:t>
            </w:r>
          </w:p>
          <w:p w14:paraId="5CB78587"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3:</w:t>
            </w:r>
          </w:p>
          <w:p w14:paraId="078A7685"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Definición de la contabilidad de bancos; documentación contable y manual de cuentas. (C, P)</w:t>
            </w:r>
          </w:p>
          <w:p w14:paraId="65F18410"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Cierre de gestión, presentación de estados financieros, auditoría externa, publicación en prensa y memoria anual. (C)</w:t>
            </w:r>
          </w:p>
          <w:p w14:paraId="7D64390B"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Transparencia de la información y atención al consumidor financiero en el marco de la función social de los servicios financieros. (C, A)</w:t>
            </w:r>
          </w:p>
          <w:p w14:paraId="08ED5608"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Normas contables; valuación de activos y pasivos en moneda extranjera y valuación de activos en moneda nacional. (C)</w:t>
            </w:r>
          </w:p>
          <w:p w14:paraId="140A2E4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Cálculo y exposición de productos por cobrar y cargos por pagar; asignación de costos. (P)</w:t>
            </w:r>
          </w:p>
          <w:p w14:paraId="659E0433"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Consolidación de oficina central y sucursales; partidas pendientes de imputación. (C)</w:t>
            </w:r>
          </w:p>
          <w:p w14:paraId="7A141162"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4:</w:t>
            </w:r>
          </w:p>
          <w:p w14:paraId="6EEBDC4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Marco legal para la constitución y el funcionamiento de bancos y entidades financieras; requisitos de constitución y licencia de funcionamiento. (C)</w:t>
            </w:r>
          </w:p>
          <w:p w14:paraId="696E7D69"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Capital mínimo de Bancos y Entidades Financieras; casos prácticos. (C)</w:t>
            </w:r>
          </w:p>
          <w:p w14:paraId="4ECE1B75"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Terminología financiera en inglés: </w:t>
            </w:r>
            <w:proofErr w:type="spellStart"/>
            <w:r>
              <w:rPr>
                <w:rFonts w:ascii="Century Gothic" w:hAnsi="Century Gothic" w:cs="Century Gothic" w:eastAsia="Century Gothic"/>
                <w:sz w:val="18"/>
                <w:szCs w:val="18"/>
              </w:rPr>
              <w:t>banking</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deposits</w:t>
            </w:r>
            <w:proofErr w:type="spellEnd"/>
            <w:r>
              <w:rPr>
                <w:rFonts w:ascii="Century Gothic" w:hAnsi="Century Gothic" w:cs="Century Gothic" w:eastAsia="Century Gothic"/>
                <w:sz w:val="18"/>
                <w:szCs w:val="18"/>
              </w:rPr>
              <w:t xml:space="preserve">, loan portfolio, </w:t>
            </w:r>
            <w:proofErr w:type="spellStart"/>
            <w:r>
              <w:rPr>
                <w:rFonts w:ascii="Century Gothic" w:hAnsi="Century Gothic" w:cs="Century Gothic" w:eastAsia="Century Gothic"/>
                <w:sz w:val="18"/>
                <w:szCs w:val="18"/>
              </w:rPr>
              <w:t>provisions</w:t>
            </w:r>
            <w:proofErr w:type="spellEnd"/>
            <w:r>
              <w:rPr>
                <w:rFonts w:ascii="Century Gothic" w:hAnsi="Century Gothic" w:cs="Century Gothic" w:eastAsia="Century Gothic"/>
                <w:sz w:val="18"/>
                <w:szCs w:val="18"/>
              </w:rPr>
              <w:t xml:space="preserve">, </w:t>
            </w:r>
            <w:proofErr w:type="spellStart"/>
            <w:r>
              <w:rPr>
                <w:rFonts w:ascii="Century Gothic" w:hAnsi="Century Gothic" w:cs="Century Gothic" w:eastAsia="Century Gothic"/>
                <w:sz w:val="18"/>
                <w:szCs w:val="18"/>
              </w:rPr>
              <w:t>liquidity</w:t>
            </w:r>
            <w:proofErr w:type="spellEnd"/>
            <w:r>
              <w:rPr>
                <w:rFonts w:ascii="Century Gothic" w:hAnsi="Century Gothic" w:cs="Century Gothic" w:eastAsia="Century Gothic"/>
                <w:sz w:val="18"/>
                <w:szCs w:val="18"/>
              </w:rPr>
              <w:t xml:space="preserve"> y capital </w:t>
            </w:r>
            <w:proofErr w:type="spellStart"/>
            <w:r>
              <w:rPr>
                <w:rFonts w:ascii="Century Gothic" w:hAnsi="Century Gothic" w:cs="Century Gothic" w:eastAsia="Century Gothic"/>
                <w:sz w:val="18"/>
                <w:szCs w:val="18"/>
              </w:rPr>
              <w:t>adequacy</w:t>
            </w:r>
            <w:proofErr w:type="spellEnd"/>
            <w:r>
              <w:rPr>
                <w:rFonts w:ascii="Century Gothic" w:hAnsi="Century Gothic" w:cs="Century Gothic" w:eastAsia="Century Gothic"/>
                <w:sz w:val="18"/>
                <w:szCs w:val="18"/>
              </w:rPr>
              <w:t>. (C)</w:t>
            </w:r>
          </w:p>
          <w:p w14:paraId="54002A13"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5:</w:t>
            </w:r>
          </w:p>
          <w:p w14:paraId="255AFB30"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disponibilidades; casos de débito y casos de crédito. (C)</w:t>
            </w:r>
          </w:p>
          <w:p w14:paraId="2E632393"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Interpretación del saldo de las disponibilidades y papeletas contables. (C)</w:t>
            </w:r>
          </w:p>
          <w:p w14:paraId="2C588EA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Faltantes y sobrantes de caja; procedimientos de regularización; casos prácticos. (P)</w:t>
            </w:r>
          </w:p>
          <w:p w14:paraId="5C6564BF"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Control interno del efectivo: arqueos sorpresivos, segregación de funciones y límites de bóveda. (C)</w:t>
            </w:r>
          </w:p>
          <w:p w14:paraId="38D6E98D" w14:textId="77777777" w:rsidR="00EE70B8" w:rsidRDefault="00C15354">
            <w:pPr>
              <w:spacing w:before="6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6:</w:t>
            </w:r>
          </w:p>
          <w:p w14:paraId="27CA8ADC"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Definición y características de la cámara de compensación; su automatización. (C, T)</w:t>
            </w:r>
          </w:p>
          <w:p w14:paraId="203DDC16"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Importancia del encaje legal en la cámara de compensación y función de la Asociación de Bancos Privados de Bolivia (ASOBAN). (C)</w:t>
            </w:r>
          </w:p>
          <w:p w14:paraId="0030FA62"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Especificaciones, requisitos y material para el diseño de cheques; legibilidad de la información. (P)</w:t>
            </w:r>
          </w:p>
          <w:p w14:paraId="72023287"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Lectura electrónica de cheques y planilla de la cámara de compensación; casos prácticos. (C, T)</w:t>
            </w:r>
          </w:p>
          <w:p w14:paraId="59595656"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Sistemas de pago de alto y de bajo valor: cámara de compensación, liquidación en el Banco Central de Bolivia y pagos electrónicos inmediatos. (C, T)</w:t>
            </w:r>
          </w:p>
          <w:p w14:paraId="5351FBAE" w14:textId="77777777" w:rsidR="00EE70B8" w:rsidRDefault="00C15354">
            <w:pPr>
              <w:numPr>
                <w:ilvl w:val="0"/>
                <w:numId w:val="2"/>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Prevención de la legitimación de ganancias ilícitas en el manejo del efectivo: debida diligencia del cliente, registro de operaciones y reporte de operaciones sospechosas. (P)</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0B312545"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lastRenderedPageBreak/>
              <w:t>Nociones de la historia de la banca y del sistema financiero boliviano.</w:t>
            </w:r>
          </w:p>
          <w:p w14:paraId="776F807C"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la organización de una agencia y de una sucursal bancaria.</w:t>
            </w:r>
          </w:p>
          <w:p w14:paraId="0BA10CA3" w14:textId="77777777" w:rsidR="00EE70B8" w:rsidRDefault="00C15354">
            <w:pPr>
              <w:numPr>
                <w:ilvl w:val="0"/>
                <w:numId w:val="3"/>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identificación de billetes falsificados y de las medidas de seguridad del billete boliviano.</w:t>
            </w:r>
          </w:p>
          <w:p w14:paraId="3C6E78C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seguridad física y custodia del efectivo en bóveda.</w:t>
            </w:r>
          </w:p>
        </w:tc>
      </w:tr>
      <w:tr w:rsidR="00EE70B8" w14:paraId="3C22A897" w14:textId="77777777">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649E88"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2: </w:t>
            </w:r>
            <w:r>
              <w:rPr>
                <w:rFonts w:ascii="Century Gothic" w:hAnsi="Century Gothic" w:cs="Century Gothic" w:eastAsia="Century Gothic"/>
                <w:sz w:val="18"/>
                <w:szCs w:val="18"/>
              </w:rPr>
              <w:t xml:space="preserve">Aplica el tratamiento contable de los depósitos en cuentas corrientes, en cajas de ahorro y a plazo fijo, y calcula el encaje legal correspondiente.</w:t>
            </w:r>
          </w:p>
        </w:tc>
      </w:tr>
      <w:tr w:rsidR="00EE70B8" w14:paraId="63B90E7E"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8AA72F6"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E09137E"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D3DB79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4665FA28"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D6DF48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1. Registra el movimiento contable de los depósitos en cuentas corrientes y en caja de ahorros, calculando sus intereses conforme a la normativa vigente.</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E4AC97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Registra la apertura, el movimiento, la clausura y el cierre de una cuenta corriente</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61ECB3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5: </w:t>
            </w:r>
            <w:r>
              <w:rPr>
                <w:rFonts w:ascii="Century Gothic" w:hAnsi="Century Gothic" w:cs="Century Gothic" w:eastAsia="Century Gothic"/>
                <w:sz w:val="18"/>
                <w:szCs w:val="18"/>
              </w:rPr>
              <w:t>Movimiento contable de los depósitos en cuenta corriente en un caso práctico y su exposición en los Estados Financieros.</w:t>
            </w:r>
          </w:p>
        </w:tc>
      </w:tr>
      <w:tr w:rsidR="00EE70B8" w14:paraId="2DAA9874"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3AA4D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D219C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Registra la apertura, el movimiento, cálculo de intereses y la clausura de una caja de ahorro.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432D88F"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6: </w:t>
            </w:r>
            <w:r>
              <w:rPr>
                <w:rFonts w:ascii="Century Gothic" w:hAnsi="Century Gothic" w:cs="Century Gothic" w:eastAsia="Century Gothic"/>
                <w:sz w:val="18"/>
                <w:szCs w:val="18"/>
              </w:rPr>
              <w:t>Movimiento contable de los depósitos en caja de ahorro en un caso práctico y su exposición en los Estados Financieros.</w:t>
            </w:r>
          </w:p>
        </w:tc>
      </w:tr>
      <w:tr w:rsidR="00EE70B8" w14:paraId="524B7BE3"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4A75DF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 Registra el movimiento de los depósitos a plazo fijo en moneda nacional y extranjera y determina el encaje legal correspondiente de acuerdo con la normativa </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3CC1BE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2.1 Registra la apertura, el movimiento, cálculo de intereses y el cierre de un depósito a plazo fijo. </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856501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7: </w:t>
            </w:r>
            <w:r>
              <w:rPr>
                <w:rFonts w:ascii="Century Gothic" w:hAnsi="Century Gothic" w:cs="Century Gothic" w:eastAsia="Century Gothic"/>
                <w:sz w:val="18"/>
                <w:szCs w:val="18"/>
              </w:rPr>
              <w:t>Movimiento contable de los depósitos a plazo fijo en un caso práctico y su exposición en los Estados Financieros.</w:t>
            </w:r>
          </w:p>
        </w:tc>
      </w:tr>
      <w:tr w:rsidR="00EE70B8" w14:paraId="64F68E9A"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4DCA52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FB7D1E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Calcula el encaje legal en efectivo y en títulos determinando el excedente o deficiencia de encaje y la multa correspondiente de un caso práctico.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9FB9E5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8: </w:t>
            </w:r>
            <w:r>
              <w:rPr>
                <w:rFonts w:ascii="Century Gothic" w:hAnsi="Century Gothic" w:cs="Century Gothic" w:eastAsia="Century Gothic"/>
                <w:sz w:val="18"/>
                <w:szCs w:val="18"/>
              </w:rPr>
              <w:t>Cálculo del encaje legal y del Fondo RAL de un caso práctico.</w:t>
            </w:r>
          </w:p>
        </w:tc>
      </w:tr>
      <w:tr w:rsidR="00EE70B8" w14:paraId="0D5B2A78"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1C994B7"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1BDFAD91"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D78E5F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21BA45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197CE657"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79D62AE"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5E5BFA62" w14:textId="77777777">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124CE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7: Depósitos en Cuentas Corrientes</w:t>
            </w:r>
          </w:p>
          <w:p w14:paraId="2C1DCAE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8: Depósitos en Caja de Ahorros</w:t>
            </w:r>
          </w:p>
          <w:p w14:paraId="0DFD0F2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9: Depósitos a Plazo Fijo</w:t>
            </w:r>
          </w:p>
          <w:p w14:paraId="403B16D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10: Encaje Legal</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5E847D8"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7:</w:t>
            </w:r>
          </w:p>
          <w:p w14:paraId="2B18E81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clasificación de los depósitos en cuentas corrientes; reglamento de cuentas corrientes. (C)</w:t>
            </w:r>
          </w:p>
          <w:p w14:paraId="758D4E5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Apertura y funcionamiento de las cuentas corrientes. (C)</w:t>
            </w:r>
          </w:p>
          <w:p w14:paraId="49025297"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Clausura y rehabilitación de las cuentas corrientes; periodos de suspensión. (C)</w:t>
            </w:r>
          </w:p>
          <w:p w14:paraId="79274AB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Errores atribuibles a la entidad bancaria en el manejo de las cuentas corrientes; casos prácticos. (C)</w:t>
            </w:r>
          </w:p>
          <w:p w14:paraId="736927FD"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8:</w:t>
            </w:r>
          </w:p>
          <w:p w14:paraId="242FFE09"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libretas y clasificación de los depósitos en caja de ahorros. (C)</w:t>
            </w:r>
          </w:p>
          <w:p w14:paraId="6031731D"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Apertura de depósitos en caja de ahorros; intereses y cálculo de intereses en cajas de ahorro. (P)</w:t>
            </w:r>
          </w:p>
          <w:p w14:paraId="641A033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Movimiento contable de los depósitos en caja de ahorros; casos prácticos. (C)</w:t>
            </w:r>
          </w:p>
          <w:p w14:paraId="54F9389B"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9:</w:t>
            </w:r>
          </w:p>
          <w:p w14:paraId="77FD68E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constitución de los depósitos a plazo fijo; emisión del certificado de depósito a plazo fijo. (C)</w:t>
            </w:r>
          </w:p>
          <w:p w14:paraId="4FAF2509"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Normativa de funcionamiento e intereses en los depósitos a plazo fijo; movimiento contable; casos prácticos. (C)</w:t>
            </w:r>
          </w:p>
          <w:p w14:paraId="0D2CBB7D" w14:textId="77777777" w:rsidR="00EE70B8" w:rsidRDefault="00C15354">
            <w:pPr>
              <w:pBdr>
                <w:top w:val="nil"/>
                <w:left w:val="nil"/>
                <w:bottom w:val="nil"/>
                <w:right w:val="nil"/>
                <w:between w:val="nil"/>
              </w:pBdr>
              <w:spacing w:before="10" w:after="10" w:line="240" w:lineRule="auto"/>
              <w:ind w:left="40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10:</w:t>
            </w:r>
          </w:p>
          <w:p w14:paraId="08216F7F"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objetivos y definiciones del encaje legal; el encaje legal y el Fondo de Requerimiento de Activos Líquidos (RAL). (C)</w:t>
            </w:r>
          </w:p>
          <w:p w14:paraId="05BF20C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Tasas de encaje legal; pasivos sujetos y pasivos no sujetos al encaje legal; exenciones. (C)</w:t>
            </w:r>
          </w:p>
          <w:p w14:paraId="10580F6A"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Modificaciones de las tasas de encaje legal y su efecto sobre la liquidez del sistema financiero y sobre el crédito. (C)</w:t>
            </w:r>
          </w:p>
          <w:p w14:paraId="1D5408B0"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Cómputo del encaje legal constituido en efectivo y del encaje legal en títulos. (C)</w:t>
            </w:r>
          </w:p>
          <w:p w14:paraId="3BDDFDBD"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constitución y administración del Fondo RAL; crédito de liquidez. (C)</w:t>
            </w:r>
          </w:p>
          <w:p w14:paraId="4E5BFF2C"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 participación en el Fondo RAL y disolución del Fondo RAL. (C)</w:t>
            </w:r>
          </w:p>
          <w:p w14:paraId="3A5907B6"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Reportes de encaje legal y multas por deficiencias de encaje legal; movimiento contable; casos prácticos. (C)</w:t>
            </w:r>
          </w:p>
          <w:p w14:paraId="0489AAF6" w14:textId="77777777" w:rsidR="00EE70B8" w:rsidRDefault="00C15354">
            <w:pPr>
              <w:numPr>
                <w:ilvl w:val="0"/>
                <w:numId w:val="7"/>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Protección del ahorrista: Fondo de Protección al Ahorrista previsto en la Ley de Servicios Financieros. (C)</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0704AAD"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verificación de firmas y de documentos de identidad en la apertura de cuentas.</w:t>
            </w:r>
          </w:p>
          <w:p w14:paraId="5EEDA83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régimen de capacidad civil y de representación de los titulares de cuentas.</w:t>
            </w:r>
          </w:p>
        </w:tc>
      </w:tr>
      <w:tr w:rsidR="00EE70B8" w14:paraId="11E125D3" w14:textId="77777777">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09A173B9"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3: </w:t>
            </w:r>
            <w:r>
              <w:rPr>
                <w:rFonts w:ascii="Century Gothic" w:hAnsi="Century Gothic" w:cs="Century Gothic" w:eastAsia="Century Gothic"/>
                <w:sz w:val="18"/>
                <w:szCs w:val="18"/>
              </w:rPr>
              <w:t>Aplica el tratamiento contable de la cartera de créditos de una entidad financiera, desde el desembolso hasta la recuperación, considerando la previsión, el devengamiento de intereses, los créditos con recursos de segundo piso, la cartera en ejecución y los bienes adjudicados por vía legal.</w:t>
            </w:r>
          </w:p>
        </w:tc>
      </w:tr>
      <w:tr w:rsidR="00EE70B8" w14:paraId="401F4661" w14:textId="77777777">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574CA2D"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desempeño</w:t>
            </w:r>
          </w:p>
        </w:tc>
        <w:tc>
          <w:tcPr>
            <w:tcW w:w="3135" w:type="dxa"/>
            <w:gridSpan w:val="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C7CCE80"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desempeño</w:t>
            </w:r>
          </w:p>
        </w:tc>
        <w:tc>
          <w:tcPr>
            <w:tcW w:w="313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B0B0083"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producto</w:t>
            </w:r>
          </w:p>
        </w:tc>
      </w:tr>
      <w:tr w:rsidR="00EE70B8" w14:paraId="449DB441"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DBD83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Registra el tratamiento contable individual de los tipos y modalidades de crédito que ofrece una entidad financiera, a lo largo de su ciclo contable: desembolso, previsión, devengamiento de intereses y recuperación.</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2F01D1A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1.1 Desarrolla en aula un ejercicio integral de las operaciones de la cartera vigente de una entidad financiera (desembolso, devengamiento de intereses, previsión y recuperación) y lo expone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73D4C53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9: </w:t>
            </w:r>
            <w:r>
              <w:rPr>
                <w:rFonts w:ascii="Century Gothic" w:hAnsi="Century Gothic" w:cs="Century Gothic" w:eastAsia="Century Gothic"/>
                <w:sz w:val="18"/>
                <w:szCs w:val="18"/>
              </w:rPr>
              <w:t>Ejercicio integral de las operaciones de la cartera vigente de una entidad financiera, con su exposición en los estados financieros.</w:t>
            </w:r>
          </w:p>
        </w:tc>
      </w:tr>
      <w:tr w:rsidR="00EE70B8" w14:paraId="2FA0BBB0"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18F82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65F4E88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Desarrolla en equipo un ejercicio integral de las operaciones de la cartera vencida, calculando los intereses vencidos y los intereses penales, y lo expone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7F886BE9" w14:textId="77777777" w:rsidR="00EE70B8" w:rsidRDefault="00C15354">
            <w:pPr>
              <w:spacing w:before="20" w:after="20" w:line="240" w:lineRule="auto"/>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 xml:space="preserve">Producto 10: </w:t>
            </w:r>
            <w:r>
              <w:rPr>
                <w:rFonts w:ascii="Century Gothic" w:hAnsi="Century Gothic" w:cs="Century Gothic" w:eastAsia="Century Gothic"/>
                <w:sz w:val="18"/>
                <w:szCs w:val="18"/>
              </w:rPr>
              <w:t>Ejercicio integral de las operaciones de la cartera vencida, con el cálculo de los intereses vencidos y penales y su exposición en los estados financieros.</w:t>
            </w:r>
          </w:p>
        </w:tc>
      </w:tr>
      <w:tr w:rsidR="00EE70B8" w14:paraId="55490786"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44D141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Registra el tratamiento contable de los créditos con recursos de entidades financieras, de la cartera en ejecución y de la recuperación del crédito mediante bienes adjudicados por vía legal.</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5C08CFA8"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2.1 Registra en aula las operaciones de crédito con recursos de entidades financieras y las expone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5913524C"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11: </w:t>
            </w:r>
            <w:r>
              <w:rPr>
                <w:rFonts w:ascii="Century Gothic" w:hAnsi="Century Gothic" w:cs="Century Gothic" w:eastAsia="Century Gothic"/>
                <w:sz w:val="18"/>
                <w:szCs w:val="18"/>
              </w:rPr>
              <w:t>Tratamiento contable de los créditos con recursos de entidades financieras, con su exposición en los estados financieros.</w:t>
            </w:r>
          </w:p>
        </w:tc>
      </w:tr>
      <w:tr w:rsidR="00EE70B8" w14:paraId="19793FC6"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DB2785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72BEB7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Registra en equipo el tratamiento contable de la cartera en ejecución y de su recuperación mediante la adjudicación de bienes por vía legal, y lo expone en los estados financieros.</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1981893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12: </w:t>
            </w:r>
            <w:r>
              <w:rPr>
                <w:rFonts w:ascii="Century Gothic" w:hAnsi="Century Gothic" w:cs="Century Gothic" w:eastAsia="Century Gothic"/>
                <w:sz w:val="18"/>
                <w:szCs w:val="18"/>
              </w:rPr>
              <w:t>Tratamiento contable de la cartera en ejecución y de su recuperación mediante la adjudicación de bienes, con su exposición en los estados financieros.</w:t>
            </w:r>
          </w:p>
        </w:tc>
      </w:tr>
      <w:tr w:rsidR="00EE70B8" w14:paraId="48B4FCED"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B904507"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06BC49D0"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257F2B4"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306BEB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14CFCF86"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358F504"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7E1F0905" w14:textId="77777777">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0685C4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11: Cartera de Créditos</w:t>
            </w:r>
          </w:p>
          <w:p w14:paraId="3EA7B2C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12: Régimen de Previsiones de Cartera</w:t>
            </w:r>
          </w:p>
          <w:p w14:paraId="42817619"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13: Adelantos en Cuentas Corrientes</w:t>
            </w:r>
          </w:p>
          <w:p w14:paraId="7B9C7917"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14: Documentos Descontados</w:t>
            </w:r>
          </w:p>
          <w:p w14:paraId="3CDE69A8"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15: Préstamos a Plazo Fijo</w:t>
            </w:r>
          </w:p>
          <w:p w14:paraId="3B88271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16: Préstamos Amortizables</w:t>
            </w:r>
          </w:p>
          <w:p w14:paraId="714FE3F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17: Tarjetas de Crédito</w:t>
            </w:r>
          </w:p>
          <w:p w14:paraId="20E928F7" w14:textId="6FF618F1"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18: Préstamos con Recursos de</w:t>
            </w:r>
            <w:r w:rsidR="00906D7D">
              <w:rPr>
                <w:rFonts w:ascii="Century Gothic" w:hAnsi="Century Gothic" w:cs="Century Gothic" w:eastAsia="Century Gothic"/>
                <w:sz w:val="18"/>
                <w:szCs w:val="18"/>
              </w:rPr>
              <w:t>l BCB/</w:t>
            </w:r>
            <w:bookmarkStart w:id="0" w:name="_GoBack"/>
            <w:bookmarkEnd w:id="0"/>
            <w:r>
              <w:rPr>
                <w:rFonts w:ascii="Century Gothic" w:hAnsi="Century Gothic" w:cs="Century Gothic" w:eastAsia="Century Gothic"/>
                <w:sz w:val="18"/>
                <w:szCs w:val="18"/>
              </w:rPr>
              <w:t xml:space="preserve"> Entidades Financieras de Segundo Piso</w:t>
            </w:r>
          </w:p>
          <w:p w14:paraId="2BD5420E"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19: Cartera en Mora</w:t>
            </w:r>
          </w:p>
          <w:p w14:paraId="2F53E10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Tema 20: Bienes Adjudicados</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3FEC0655" w14:textId="77777777" w:rsidR="00EE70B8" w:rsidRDefault="00C15354">
            <w:pPr>
              <w:keepNext/>
              <w:spacing w:before="6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11:</w:t>
            </w:r>
          </w:p>
          <w:p w14:paraId="5CBBC757"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importancia y función de la cartera de créditos en una entidad financiera. (C)</w:t>
            </w:r>
          </w:p>
          <w:p w14:paraId="2ADB33FE"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Clasificación de los créditos según la Ley de Servicios Financieros y la normativa de la ASFI. (C)</w:t>
            </w:r>
          </w:p>
          <w:p w14:paraId="3666538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Estructura de las cuentas de cartera en el Manual de Cuentas de la ASFI. (C)</w:t>
            </w:r>
          </w:p>
          <w:p w14:paraId="0E9ECA4B"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12:</w:t>
            </w:r>
          </w:p>
          <w:p w14:paraId="7CC362D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empresariales: características, destino y tratamiento contable. (C, P)</w:t>
            </w:r>
          </w:p>
          <w:p w14:paraId="6EB3591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PYME y microcréditos: características, destino y tratamiento contable. (C, P)</w:t>
            </w:r>
          </w:p>
          <w:p w14:paraId="716D03B1"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13:</w:t>
            </w:r>
          </w:p>
          <w:p w14:paraId="7E339CC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de vivienda y de vivienda de interés social: características y tratamiento contable. (C, P)</w:t>
            </w:r>
          </w:p>
          <w:p w14:paraId="1D1170E8"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Créditos de consumo y de consumo debitado a una cuenta: características y tratamiento contable. (C, P)</w:t>
            </w:r>
          </w:p>
          <w:p w14:paraId="41253133"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14:</w:t>
            </w:r>
          </w:p>
          <w:p w14:paraId="4ADD3EDA"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Modalidades de crédito: sobregiros, líneas de crédito, descuento de documentos y créditos en cuotas. (C, P)</w:t>
            </w:r>
          </w:p>
          <w:p w14:paraId="24C11C6B"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Operaciones contingentes: boletas de garantía y cartas de crédito. (C)</w:t>
            </w:r>
          </w:p>
          <w:p w14:paraId="1F6C0BF1"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15:</w:t>
            </w:r>
          </w:p>
          <w:p w14:paraId="0F12D29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de la capacidad de pago y responsabilidad en el otorgamiento del crédito. (C, A)</w:t>
            </w:r>
          </w:p>
          <w:p w14:paraId="602529D1"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Garantías del crédito y su tratamiento contable. (C)</w:t>
            </w:r>
          </w:p>
          <w:p w14:paraId="0CC21DA8"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Calificación de la cartera y categorías de riesgo; régimen de previsiones específica, genérica y cíclica. (C, P)</w:t>
            </w:r>
          </w:p>
          <w:p w14:paraId="0DF86AA2"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16:</w:t>
            </w:r>
          </w:p>
          <w:p w14:paraId="0E1F8FF6"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Desembolso del crédito: registro contable y comisiones. (P)</w:t>
            </w:r>
          </w:p>
          <w:p w14:paraId="6BE2924D"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Devengamiento de intereses y productos devengados por cobrar. (C, P)</w:t>
            </w:r>
          </w:p>
          <w:p w14:paraId="6E138E2E"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Cobro de cuotas, amortización y recuperación de la cartera vigente; plan de pagos en hoja de cálculo. (P, T)</w:t>
            </w:r>
          </w:p>
          <w:p w14:paraId="7F425E7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Ejercicio integral de la cartera vigente y su exposición en los estados financieros. (P)</w:t>
            </w:r>
          </w:p>
          <w:p w14:paraId="302DE5E6"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17:</w:t>
            </w:r>
          </w:p>
          <w:p w14:paraId="6BD98217"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Traspaso de la cartera vigente a cartera vencida; criterios de mora. (C)</w:t>
            </w:r>
          </w:p>
          <w:p w14:paraId="1260AEE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Cálculo y registro de los intereses vencidos y de los intereses penales; suspensión del devengamiento. (P, T)</w:t>
            </w:r>
          </w:p>
          <w:p w14:paraId="2221D7C4"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Previsión, recuperación y reprogramación de la cartera vencida. (C, P)</w:t>
            </w:r>
          </w:p>
          <w:p w14:paraId="075F2E82"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Ejercicio integral de la cartera vencida y su exposición en los estados financieros. (P)</w:t>
            </w:r>
          </w:p>
          <w:p w14:paraId="6987DC75"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18:</w:t>
            </w:r>
          </w:p>
          <w:p w14:paraId="1C216D4A"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Entidades financieras de segundo piso: concepto, función y marco normativo. (C)</w:t>
            </w:r>
          </w:p>
          <w:p w14:paraId="496A823B" w14:textId="6FCD54BA"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Créditos con recursos </w:t>
            </w:r>
            <w:r w:rsidR="00906D7D">
              <w:rPr>
                <w:rFonts w:ascii="Century Gothic" w:hAnsi="Century Gothic" w:cs="Century Gothic" w:eastAsia="Century Gothic"/>
                <w:sz w:val="18"/>
                <w:szCs w:val="18"/>
              </w:rPr>
              <w:t>del BCB/</w:t>
            </w:r>
            <w:r>
              <w:rPr>
                <w:rFonts w:ascii="Century Gothic" w:hAnsi="Century Gothic" w:cs="Century Gothic" w:eastAsia="Century Gothic"/>
                <w:sz w:val="18"/>
                <w:szCs w:val="18"/>
              </w:rPr>
              <w:t xml:space="preserve"> segundo piso: obligaciones, desembolso, devengamiento y cancelación; tratamiento contable. (C, P)</w:t>
            </w:r>
          </w:p>
          <w:p w14:paraId="1612DCD0"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Exposición de las operaciones con recursos de segundo piso en los estados financieros. (P)</w:t>
            </w:r>
          </w:p>
          <w:p w14:paraId="6CADE70F"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19:</w:t>
            </w:r>
          </w:p>
          <w:p w14:paraId="66861FEF"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Traspaso a cartera en ejecución; inicio de la acción judicial y suspensión de productos. (C)</w:t>
            </w:r>
          </w:p>
          <w:p w14:paraId="42840CD5"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Previsión y registro contable de la cartera en ejecución. (C, P)</w:t>
            </w:r>
          </w:p>
          <w:p w14:paraId="5EED2EA1"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Recuperación de la cartera en ejecución y castigo de créditos. (C)</w:t>
            </w:r>
          </w:p>
          <w:p w14:paraId="4C22BBDE" w14:textId="77777777" w:rsidR="00EE70B8" w:rsidRDefault="00C15354">
            <w:pPr>
              <w:keepNext/>
              <w:spacing w:before="80" w:after="40" w:line="240" w:lineRule="auto"/>
              <w:rPr>
                <w:rFonts w:ascii="Century Gothic" w:hAnsi="Century Gothic" w:cs="Century Gothic" w:eastAsia="Century Gothic"/>
                <w:sz w:val="18"/>
                <w:szCs w:val="18"/>
              </w:rPr>
            </w:pPr>
            <w:r>
              <w:rPr>
                <w:rFonts w:ascii="Century Gothic" w:hAnsi="Century Gothic" w:cs="Century Gothic" w:eastAsia="Century Gothic"/>
                <w:b/>
                <w:bCs/>
                <w:sz w:val="18"/>
                <w:szCs w:val="18"/>
              </w:rPr>
              <w:t>Tema 20:</w:t>
            </w:r>
          </w:p>
          <w:p w14:paraId="6B8E0445"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Adjudicación de bienes por vía legal: procedimiento y requisitos. (C)</w:t>
            </w:r>
          </w:p>
          <w:p w14:paraId="4246B5FD" w14:textId="77777777" w:rsidR="00EE70B8" w:rsidRDefault="00C15354">
            <w:pPr>
              <w:numPr>
                <w:ilvl w:val="0"/>
                <w:numId w:val="4"/>
              </w:numPr>
              <w:pBdr>
                <w:top w:val="nil"/>
                <w:left w:val="nil"/>
                <w:bottom w:val="nil"/>
                <w:right w:val="nil"/>
                <w:between w:val="nil"/>
              </w:pBdr>
              <w:spacing w:after="4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Registro contable de los bienes adjudicados, previsión por tenencia y enajenación. (C, P)</w:t>
            </w:r>
          </w:p>
          <w:p w14:paraId="2DC08C8B" w14:textId="77777777" w:rsidR="00EE70B8" w:rsidRDefault="00C15354">
            <w:pPr>
              <w:numPr>
                <w:ilvl w:val="0"/>
                <w:numId w:val="8"/>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Exposición de la cartera en ejecución y de los bienes adjudicados en los estados financieros. (P)</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4EDC7DF9"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proceso de solicitud, evaluación y aprobación del crédito.</w:t>
            </w:r>
          </w:p>
          <w:p w14:paraId="7BD98C40"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la Central de Información Crediticia y del análisis de riesgo del prestatario.</w:t>
            </w:r>
          </w:p>
          <w:p w14:paraId="63E66870" w14:textId="77777777" w:rsidR="00EE70B8" w:rsidRDefault="00C15354">
            <w:pPr>
              <w:numPr>
                <w:ilvl w:val="0"/>
                <w:numId w:val="5"/>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proceso judicial de cobro de créditos.</w:t>
            </w:r>
          </w:p>
          <w:p w14:paraId="19416DD3"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tasación de bienes muebles e inmuebles.</w:t>
            </w:r>
          </w:p>
        </w:tc>
      </w:tr>
      <w:tr w:rsidR="00EE70B8" w14:paraId="2210913C" w14:textId="77777777">
        <w:trPr>
          <w:cantSplit/>
        </w:trPr>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07AA0F10" w14:textId="77777777" w:rsidR="00EE70B8" w:rsidRDefault="00C15354">
            <w:pPr>
              <w:spacing w:before="20" w:after="20" w:line="240" w:lineRule="auto"/>
              <w:rPr>
                <w:rFonts w:ascii="Century Gothic" w:hAnsi="Century Gothic" w:cs="Century Gothic" w:eastAsia="Century Gothic"/>
                <w:sz w:val="18"/>
                <w:szCs w:val="18"/>
              </w:rPr>
            </w:pPr>
            <w:r>
              <w:rPr>
                <w:rFonts w:ascii="Century Gothic" w:hAnsi="Century Gothic" w:cs="Century Gothic" w:eastAsia="Century Gothic"/>
                <w:b/>
                <w:bCs/>
                <w:i/>
                <w:iCs/>
                <w:sz w:val="18"/>
                <w:szCs w:val="18"/>
              </w:rPr>
              <w:t xml:space="preserve">Elemento de competencia 4: </w:t>
            </w:r>
            <w:r>
              <w:rPr>
                <w:rFonts w:ascii="Century Gothic" w:hAnsi="Century Gothic" w:cs="Century Gothic" w:eastAsia="Century Gothic"/>
                <w:sz w:val="18"/>
                <w:szCs w:val="18"/>
              </w:rPr>
              <w:t>Describe, a nivel de nociones, los instrumentos financieros y las operaciones de los agentes de bolsa, las sociedades administradoras de fondos de inversión, las entidades de leasing y las entidades auxiliares financieras, de acuerdo con la normativa del sistema financiero boliviano.</w:t>
            </w:r>
          </w:p>
        </w:tc>
      </w:tr>
      <w:tr w:rsidR="00EE70B8" w14:paraId="6C030355" w14:textId="77777777">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0A07C04"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7C2A1C2"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C47680"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Criterios de desempeño</w:t>
            </w:r>
          </w:p>
        </w:tc>
      </w:tr>
      <w:tr w:rsidR="00EE70B8" w14:paraId="0B2B5A6C"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AA3D73A"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84B5F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044D1A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 Describe, a nivel de nociones, los instrumentos financieros y el mercado de valores boliviano, identificando la función de los agentes de bolsa y de las sociedades administradoras de fondos de inversión.</w:t>
            </w:r>
          </w:p>
        </w:tc>
      </w:tr>
      <w:tr w:rsidR="00EE70B8" w14:paraId="3AFA2D0E"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9388C8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97489E3"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1.2 Expone en equipo las operaciones de un agente de bolsa, de una SAFI y de una entidad auxiliar financiera, y registra en aula la operatoria contable de un contrato de leasing comparándolo con el crédito bancario según la NIIF 16.</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6DA97B0"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14: </w:t>
            </w:r>
            <w:r>
              <w:rPr>
                <w:rFonts w:ascii="Century Gothic" w:hAnsi="Century Gothic" w:cs="Century Gothic" w:eastAsia="Century Gothic"/>
                <w:sz w:val="18"/>
                <w:szCs w:val="18"/>
              </w:rPr>
              <w:t>Esquema de la operatoria contable de agentes de bolsa, SAFI y entidades auxiliares, y asientos con cuadro comparativo del leasing frente al crédito bancario.</w:t>
            </w:r>
          </w:p>
        </w:tc>
      </w:tr>
      <w:tr w:rsidR="00EE70B8" w14:paraId="701839EB" w14:textId="77777777">
        <w:trPr>
          <w:cantSplit/>
        </w:trPr>
        <w:tc>
          <w:tcPr>
            <w:tcW w:w="3135" w:type="dxa"/>
            <w:gridSpan w:val="5"/>
            <w:vMerge w:val="restart"/>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A9F3E24"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A1FAC91"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2C0712"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 Describe, a nivel de nociones, las entidades de leasing y las entidades auxiliares financieras, y aplica el concepto de leasing en un caso práctico sencillo.</w:t>
            </w:r>
          </w:p>
        </w:tc>
      </w:tr>
      <w:tr w:rsidR="00EE70B8" w14:paraId="67F48AC1" w14:textId="77777777">
        <w:trPr>
          <w:cantSplit/>
        </w:trPr>
        <w:tc>
          <w:tcPr>
            <w:tcW w:w="3135" w:type="dxa"/>
            <w:gridSpan w:val="5"/>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72DA4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3135" w:type="dxa"/>
            <w:gridSpan w:val="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D2D34B5"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2.2 Calcula los indicadores de desempeño de una entidad financiera a partir de sus estados publicados y sustenta ante el curso el diagnóstico financiero de un banco boliviano.</w:t>
            </w:r>
          </w:p>
        </w:tc>
        <w:tc>
          <w:tcPr>
            <w:tcW w:w="313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A4BC5EB" w14:textId="77777777" w:rsidR="00EE70B8" w:rsidRDefault="00C15354">
            <w:pPr>
              <w:spacing w:before="20" w:after="20" w:line="240" w:lineRule="auto"/>
              <w:jc w:val="left"/>
              <w:rPr>
                <w:rFonts w:ascii="Century Gothic" w:hAnsi="Century Gothic" w:cs="Century Gothic" w:eastAsia="Century Gothic"/>
                <w:sz w:val="18"/>
                <w:szCs w:val="18"/>
              </w:rPr>
            </w:pPr>
            <w:r>
              <w:rPr>
                <w:rFonts w:ascii="Century Gothic" w:hAnsi="Century Gothic" w:cs="Century Gothic" w:eastAsia="Century Gothic"/>
                <w:b/>
                <w:bCs/>
                <w:sz w:val="18"/>
                <w:szCs w:val="18"/>
              </w:rPr>
              <w:t xml:space="preserve">Producto 16: </w:t>
            </w:r>
            <w:r>
              <w:rPr>
                <w:rFonts w:ascii="Century Gothic" w:hAnsi="Century Gothic" w:cs="Century Gothic" w:eastAsia="Century Gothic"/>
                <w:sz w:val="18"/>
                <w:szCs w:val="18"/>
              </w:rPr>
              <w:t>Tablero de indicadores de solvencia, liquidez y calidad de cartera e informe de diagnóstico financiero de un banco boliviano.</w:t>
            </w:r>
          </w:p>
        </w:tc>
      </w:tr>
      <w:tr w:rsidR="00EE70B8" w14:paraId="50DC4F7E"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B7C0BC5"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Evidencias de conocimiento</w:t>
            </w:r>
          </w:p>
        </w:tc>
      </w:tr>
      <w:tr w:rsidR="00EE70B8" w14:paraId="59E5B8E7"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EE2873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Unidad de aprendizaje</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369244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b/>
                <w:bCs/>
                <w:i/>
                <w:iCs/>
                <w:sz w:val="18"/>
                <w:szCs w:val="18"/>
              </w:rPr>
              <w:t>Contenidos</w:t>
            </w:r>
          </w:p>
          <w:p w14:paraId="33A1FB4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i/>
                <w:iCs/>
                <w:sz w:val="18"/>
                <w:szCs w:val="18"/>
              </w:rPr>
              <w:t>C: cognitivo · P: procedimental · A: actitudinal · T: manejo de tecnología e IA</w:t>
            </w:r>
          </w:p>
        </w:tc>
        <w:tc>
          <w:tcPr>
            <w:tcW w:w="2743"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831CF2C"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Conocimientos circunstanciales</w:t>
            </w:r>
          </w:p>
        </w:tc>
      </w:tr>
      <w:tr w:rsidR="00EE70B8" w14:paraId="6A16F065" w14:textId="77777777">
        <w:tc>
          <w:tcPr>
            <w:tcW w:w="2351"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5CF361AA"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21: Instrumentos Financieros</w:t>
            </w:r>
          </w:p>
          <w:p w14:paraId="7FF6983C"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22: Agentes de Bolsa</w:t>
            </w:r>
          </w:p>
          <w:p w14:paraId="323B4210"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23: Sociedades Administradoras de Fondos de Inversión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w:t>
            </w:r>
          </w:p>
          <w:p w14:paraId="26623ADA"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24: Entidades de Leasing</w:t>
            </w:r>
          </w:p>
          <w:p w14:paraId="21788B46" w14:textId="77777777" w:rsidR="00EE70B8" w:rsidRDefault="00C15354">
            <w:pPr>
              <w:spacing w:after="80" w:line="240" w:lineRule="auto"/>
              <w:rPr>
                <w:rFonts w:ascii="Century Gothic" w:hAnsi="Century Gothic" w:cs="Century Gothic" w:eastAsia="Century Gothic"/>
                <w:sz w:val="18"/>
                <w:szCs w:val="18"/>
              </w:rPr>
            </w:pPr>
            <w:r>
              <w:rPr>
                <w:rFonts w:ascii="Century Gothic" w:hAnsi="Century Gothic" w:cs="Century Gothic" w:eastAsia="Century Gothic"/>
                <w:sz w:val="18"/>
                <w:szCs w:val="18"/>
              </w:rPr>
              <w:t>Tema 25: Entidades Auxiliares Financieras</w:t>
            </w:r>
          </w:p>
        </w:tc>
        <w:tc>
          <w:tcPr>
            <w:tcW w:w="4310" w:type="dxa"/>
            <w:gridSpan w:val="8"/>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2883BA3F"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21:</w:t>
            </w:r>
          </w:p>
          <w:p w14:paraId="608CD71B"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y tipos de instrumentos financieros: instrumentos de renta fija e instrumentos de renta variable. (C)</w:t>
            </w:r>
          </w:p>
          <w:p w14:paraId="162506F2"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activo financiero y de pasivo financiero. (C)</w:t>
            </w:r>
          </w:p>
          <w:p w14:paraId="2588271D"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Clasificación y medición de los activos financieros según el modelo de negocio y las características de los flujos contractuales, y deterioro por pérdidas crediticias esperadas conforme a la NIIF 9. (C, P)</w:t>
            </w:r>
          </w:p>
          <w:p w14:paraId="73515C06"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Registro y revelación de los instrumentos financieros en concordancia con las Normas Internacionales de Información Financiera. (C, P)</w:t>
            </w:r>
          </w:p>
          <w:p w14:paraId="13443FE1"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Bonos verdes, bonos sociales y bonos sostenibles del mercado de valores boliviano y su registro como instrumentos de renta fija. (P, A)</w:t>
            </w:r>
          </w:p>
          <w:p w14:paraId="3C534B38"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22:</w:t>
            </w:r>
          </w:p>
          <w:p w14:paraId="62796AD3"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agentes de bolsa; la Bolsa Boliviana de Valores y los agentes de bolsa en Bolivia. (C, A)</w:t>
            </w:r>
          </w:p>
          <w:p w14:paraId="6704056E"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Mercado de valores, corredor de bolsa, tipos de valores y participantes del mercado de valores; operatoria contable de los agentes de bolsa. (C, A)</w:t>
            </w:r>
          </w:p>
          <w:p w14:paraId="20513291"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23:</w:t>
            </w:r>
          </w:p>
          <w:p w14:paraId="660DA3D7"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Sociedades Administradoras de Fondos de Inversión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 y concepto de fondo de inversión; tipos de fondos de inversión. (C)</w:t>
            </w:r>
          </w:p>
          <w:p w14:paraId="34534DAA"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 xml:space="preserve">Mercado de </w:t>
            </w:r>
            <w:proofErr w:type="spellStart"/>
            <w:r>
              <w:rPr>
                <w:rFonts w:ascii="Century Gothic" w:hAnsi="Century Gothic" w:cs="Century Gothic" w:eastAsia="Century Gothic"/>
                <w:sz w:val="18"/>
                <w:szCs w:val="18"/>
              </w:rPr>
              <w:t>SAFIs</w:t>
            </w:r>
            <w:proofErr w:type="spellEnd"/>
            <w:r>
              <w:rPr>
                <w:rFonts w:ascii="Century Gothic" w:hAnsi="Century Gothic" w:cs="Century Gothic" w:eastAsia="Century Gothic"/>
                <w:sz w:val="18"/>
                <w:szCs w:val="18"/>
              </w:rPr>
              <w:t xml:space="preserve"> en Bolivia y su operatoria contable. (C)</w:t>
            </w:r>
          </w:p>
          <w:p w14:paraId="7AD7556F"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Fondos de inversión abiertos, cerrados y sostenibles del mercado de valores boliviano. (C, A)</w:t>
            </w:r>
          </w:p>
          <w:p w14:paraId="31F58BFF"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24:</w:t>
            </w:r>
          </w:p>
          <w:p w14:paraId="3408751A"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leasing o arrendamiento y tipos de leasing. (C)</w:t>
            </w:r>
          </w:p>
          <w:p w14:paraId="43813A84"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Diferencia entre el crédito bancario y el leasing; ventajas y desventajas del leasing. (C)</w:t>
            </w:r>
          </w:p>
          <w:p w14:paraId="4FAEAC26"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El leasing en el marco de la Ley de Servicios Financieros; operatoria contable del leasing. (C)</w:t>
            </w:r>
          </w:p>
          <w:p w14:paraId="7B0F119B"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Tratamiento del arrendamiento financiero conforme a la NIIF 16 y su diferencia con el registro regulatorio del Manual de Cuentas. (P)</w:t>
            </w:r>
          </w:p>
          <w:p w14:paraId="0C23656B" w14:textId="77777777" w:rsidR="00EE70B8" w:rsidRDefault="00C15354">
            <w:pPr>
              <w:pBdr>
                <w:top w:val="nil"/>
                <w:left w:val="nil"/>
                <w:bottom w:val="nil"/>
                <w:right w:val="nil"/>
                <w:between w:val="nil"/>
              </w:pBdr>
              <w:spacing w:line="240" w:lineRule="auto"/>
              <w:ind w:left="420"/>
              <w:jc w:val="left"/>
              <w:rPr>
                <w:rFonts w:ascii="Century Gothic" w:hAnsi="Century Gothic" w:cs="Century Gothic" w:eastAsia="Century Gothic"/>
                <w:b/>
                <w:bCs/>
                <w:sz w:val="18"/>
                <w:szCs w:val="18"/>
              </w:rPr>
            </w:pPr>
            <w:r>
              <w:rPr>
                <w:rFonts w:ascii="Century Gothic" w:hAnsi="Century Gothic" w:cs="Century Gothic" w:eastAsia="Century Gothic"/>
                <w:b/>
                <w:bCs/>
                <w:sz w:val="18"/>
                <w:szCs w:val="18"/>
              </w:rPr>
              <w:t>Tema 25:</w:t>
            </w:r>
          </w:p>
          <w:p w14:paraId="44F661F5"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Concepto de las entidades auxiliares financieras: empresas de factoraje, almacenes generales de depósito, burós de información y empresas de transporte de material monetario y de valores. (C, A)</w:t>
            </w:r>
          </w:p>
          <w:p w14:paraId="3B18D4A9"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Principales operaciones y constitución de las entidades auxiliares financieras; esquemas contables. (C)</w:t>
            </w:r>
          </w:p>
          <w:p w14:paraId="42A33D5F" w14:textId="77777777" w:rsidR="00EE70B8" w:rsidRDefault="00C15354">
            <w:pPr>
              <w:numPr>
                <w:ilvl w:val="0"/>
                <w:numId w:val="1"/>
              </w:numPr>
              <w:pBdr>
                <w:top w:val="nil"/>
                <w:left w:val="nil"/>
                <w:bottom w:val="nil"/>
                <w:right w:val="nil"/>
                <w:between w:val="nil"/>
              </w:pBdr>
              <w:spacing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Empresas de tecnología financiera y servicios de pago: pasarelas de pago, agregadores y facilitadores. (C)</w:t>
            </w:r>
          </w:p>
        </w:tc>
        <w:tc>
          <w:tcPr>
            <w:tcW w:w="2743"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B764785"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 lectura de los boletines de precios y rendimientos de la Bolsa Boliviana de Valores.</w:t>
            </w:r>
          </w:p>
          <w:p w14:paraId="53A28345"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contrato de arrendamiento financiero (leasing).</w:t>
            </w:r>
          </w:p>
          <w:p w14:paraId="1C92D29F" w14:textId="77777777" w:rsidR="00EE70B8" w:rsidRDefault="00C15354">
            <w:pPr>
              <w:numPr>
                <w:ilvl w:val="0"/>
                <w:numId w:val="1"/>
              </w:numPr>
              <w:pBdr>
                <w:top w:val="nil"/>
                <w:left w:val="nil"/>
                <w:bottom w:val="nil"/>
                <w:right w:val="nil"/>
                <w:between w:val="nil"/>
              </w:pBdr>
              <w:spacing w:after="8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contrato de factoraje y de la cesión de créditos.</w:t>
            </w:r>
          </w:p>
          <w:p w14:paraId="47A6EE76" w14:textId="77777777" w:rsidR="00EE70B8" w:rsidRDefault="00C15354">
            <w:pPr>
              <w:numPr>
                <w:ilvl w:val="0"/>
                <w:numId w:val="1"/>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Nociones del funcionamiento de los almacenes generales de depósito y de sus títulos representativos de mercaderías.</w:t>
            </w:r>
          </w:p>
        </w:tc>
      </w:tr>
      <w:tr w:rsidR="00EE70B8" w14:paraId="677028DE" w14:textId="77777777">
        <w:tc>
          <w:tcPr>
            <w:tcW w:w="9405" w:type="dxa"/>
            <w:gridSpan w:val="16"/>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D11302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Actividades</w:t>
            </w:r>
          </w:p>
        </w:tc>
      </w:tr>
      <w:tr w:rsidR="00EE70B8" w14:paraId="580738F2" w14:textId="77777777">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4DCC668"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En clase</w:t>
            </w: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4B463FD"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Autónomas</w:t>
            </w:r>
          </w:p>
        </w:tc>
        <w:tc>
          <w:tcPr>
            <w:tcW w:w="1567"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76CC372"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B-</w:t>
            </w:r>
            <w:proofErr w:type="spellStart"/>
            <w:r>
              <w:rPr>
                <w:rFonts w:ascii="Century Gothic" w:hAnsi="Century Gothic" w:cs="Century Gothic" w:eastAsia="Century Gothic"/>
                <w:b/>
                <w:bCs/>
                <w:i/>
                <w:iCs/>
                <w:color w:val="FFFFFF"/>
                <w:sz w:val="18"/>
                <w:szCs w:val="18"/>
              </w:rPr>
              <w:t>Learning</w:t>
            </w:r>
            <w:proofErr w:type="spellEnd"/>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2929A6B"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Taller</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D3AE8F0"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Investigación/Práctica</w:t>
            </w:r>
          </w:p>
        </w:tc>
      </w:tr>
      <w:tr w:rsidR="00EE70B8" w14:paraId="0CCD4E9C" w14:textId="77777777">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8207C3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Exposición dialogada de la estructura del Sistema Financiero Nacional y de la normativa de la ASFI.</w:t>
            </w:r>
          </w:p>
          <w:p w14:paraId="014973AB"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papeletas contables de disponibilidades, depósitos y cartera.</w:t>
            </w:r>
          </w:p>
          <w:p w14:paraId="79E71101"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Demostración del cálculo del encaje legal y de las previsiones de cartera en hoja de cálculo.</w:t>
            </w:r>
          </w:p>
          <w:p w14:paraId="308441CF"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Análisis de casos de calificación de cartera y de bienes adjudicados de entidades bolivianas.</w:t>
            </w:r>
          </w:p>
          <w:p w14:paraId="5CDD7D89"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Preguntas de comprensión sobre la dinámica de las cuentas del Manual de Cuentas.</w:t>
            </w: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825DAB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de ejercicios de registro contable al cierre de cada tema.</w:t>
            </w:r>
          </w:p>
          <w:p w14:paraId="1F44988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Lectura del Manual de Cuentas para Entidades Financieras y de la normativa de la ASFI relacionada con cada tema.</w:t>
            </w:r>
          </w:p>
          <w:p w14:paraId="259CBBD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Desarrollo progresivo de un caso práctico integral de una entidad financiera.</w:t>
            </w:r>
          </w:p>
        </w:tc>
        <w:tc>
          <w:tcPr>
            <w:tcW w:w="1567"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8DF6C3F"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Cuestionarios de comprensión de cada operación financiera en la plataforma Moodle UMSA.</w:t>
            </w:r>
          </w:p>
          <w:p w14:paraId="7E485C6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Foros de consulta sobre el tratamiento contable de la cartera de créditos y de las obligaciones con el público.</w:t>
            </w:r>
          </w:p>
          <w:p w14:paraId="390D4850"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Videotutoriales del cálculo del encaje legal y del Fondo RAL.</w:t>
            </w:r>
          </w:p>
          <w:p w14:paraId="4D9BF2C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Cuestionarios sobre la normativa de la Recopilación de Normas para Servicios Financieros en la plataforma Moodle UMSA.</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2BD0A8A"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colaborativa de casos de apertura y movimiento de cuentas corrientes, cajas de ahorro y depósitos a plazo fijo.</w:t>
            </w:r>
          </w:p>
          <w:p w14:paraId="594A38F5"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Elaboración guiada de la calificación de cartera y de las previsiones de una entidad financiera.</w:t>
            </w:r>
          </w:p>
          <w:p w14:paraId="0F77ED5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cruzada de los estados financieros de una entidad financiera entre equipos.</w:t>
            </w:r>
          </w:p>
          <w:p w14:paraId="06D8F063"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Resolución de un caso de debida diligencia del cliente y detección de una operación sospechosa.</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B8AA7E8"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Análisis de los estados financieros publicados por bancos bolivianos conforme al modelo de la ASFI.</w:t>
            </w:r>
          </w:p>
          <w:p w14:paraId="215853FD"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de circulares y normativa de la ASFI sobre cartera de créditos y encaje legal.</w:t>
            </w:r>
          </w:p>
          <w:p w14:paraId="549AC92E"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Comparación de la operatoria contable de un banco, una SAFI y una entidad de leasing.</w:t>
            </w:r>
          </w:p>
          <w:p w14:paraId="5124D35C" w14:textId="77777777" w:rsidR="00EE70B8" w:rsidRDefault="00C15354">
            <w:pPr>
              <w:spacing w:before="20" w:after="20" w:line="240" w:lineRule="auto"/>
              <w:jc w:val="center"/>
              <w:rPr>
                <w:rFonts w:ascii="Century Gothic" w:hAnsi="Century Gothic" w:cs="Century Gothic" w:eastAsia="Century Gothic"/>
                <w:sz w:val="18"/>
                <w:szCs w:val="18"/>
              </w:rPr>
            </w:pPr>
            <w:r>
              <w:rPr>
                <w:rFonts w:ascii="Century Gothic" w:hAnsi="Century Gothic" w:cs="Century Gothic" w:eastAsia="Century Gothic"/>
                <w:sz w:val="18"/>
                <w:szCs w:val="18"/>
              </w:rPr>
              <w:t>Revisión de los boletines y reportes de la Autoridad de Supervisión del Sistema Financiero sobre la evolución de la cartera y los depósitos.</w:t>
            </w:r>
          </w:p>
        </w:tc>
      </w:tr>
      <w:tr w:rsidR="00EE70B8" w14:paraId="4060B2F7"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B4D7683"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aprendizaje y enseñanza</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5C8502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Aprendizaje basado en problemas con operaciones de bancos y entidades financieras bolivianas.</w:t>
            </w:r>
          </w:p>
          <w:p w14:paraId="10B732A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Resolución guiada de casos prácticos en orden de dificultad creciente por producto financiero.</w:t>
            </w:r>
          </w:p>
          <w:p w14:paraId="5F1FAFCC"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Caso práctico integral que recorre las operaciones de una entidad financiera hasta sus estados financieros.</w:t>
            </w:r>
          </w:p>
          <w:p w14:paraId="5DA8119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Estudio de casos de entidades financieras reales del sistema boliviano.</w:t>
            </w:r>
          </w:p>
          <w:p w14:paraId="13B841C0"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Trabajo colaborativo en equipos de análisis y resolución de casos normativos.</w:t>
            </w:r>
          </w:p>
          <w:p w14:paraId="1EBF1F72"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Clase invertida para los contenidos introductorios y normativos de cada capítulo.</w:t>
            </w:r>
          </w:p>
          <w:p w14:paraId="252610D6"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Análisis crítico de los indicadores de una entidad financiera antes de emitir una conclusión sobre su situación.</w:t>
            </w:r>
          </w:p>
        </w:tc>
      </w:tr>
      <w:tr w:rsidR="00EE70B8" w14:paraId="5D2769B4"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8BE83AC"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Recursos para el aprendizaje</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FCE4470"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Plataforma Moodle UMSA.</w:t>
            </w:r>
          </w:p>
          <w:p w14:paraId="47244631"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Manual de Cuentas para Entidades Financieras y Recopilación de Normas para Servicios Financieros de la ASFI.</w:t>
            </w:r>
          </w:p>
          <w:p w14:paraId="55A5A6E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Compendio de Normas de Contabilidad y Auditoría del CAUB.</w:t>
            </w:r>
          </w:p>
          <w:p w14:paraId="4F00FBB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para la resolución de casos prácticos de cartera, encaje legal e intereses.</w:t>
            </w:r>
          </w:p>
          <w:p w14:paraId="73C5180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Guías de ejercicios y casos elaborados por la cátedra.</w:t>
            </w:r>
          </w:p>
          <w:p w14:paraId="6B37DD78"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Recopilación de Normas para Servicios Financieros y Manual de Cuentas para Entidades Financieras de la ASFI.</w:t>
            </w:r>
          </w:p>
          <w:p w14:paraId="59383A7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Hoja de cálculo para el cálculo de intereses, encaje legal y previsiones de cartera.</w:t>
            </w:r>
          </w:p>
        </w:tc>
      </w:tr>
      <w:tr w:rsidR="00EE70B8" w14:paraId="576FED80"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C0EF801"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Estrategias de evaluación</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54D217E"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diagnóstica: prueba inicial sobre los conocimientos previos de contabilidad intermedia, contabilidad de sociedades y contabilidad de tributos.</w:t>
            </w:r>
          </w:p>
          <w:p w14:paraId="2B0AC487"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formativa: preguntas de comprensión y desarrollo de ejercicios prácticos en el aula, con retroalimentación continua, autoevaluación y coevaluación.</w:t>
            </w:r>
          </w:p>
          <w:p w14:paraId="57223C4B"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sumativa: controles de lectura y asistencia, evaluación de casos prácticos, trabajos de investigación y desarrollo, exámenes parciales y examen final.</w:t>
            </w:r>
          </w:p>
        </w:tc>
      </w:tr>
      <w:tr w:rsidR="00EE70B8" w14:paraId="4CA3DB1C" w14:textId="77777777">
        <w:tc>
          <w:tcPr>
            <w:tcW w:w="2351"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BF722AF"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Criterios de calificación</w:t>
            </w:r>
          </w:p>
        </w:tc>
        <w:tc>
          <w:tcPr>
            <w:tcW w:w="7053" w:type="dxa"/>
            <w:gridSpan w:val="1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2FA95F3"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Nota mínima de aprobación: 51/100.</w:t>
            </w:r>
          </w:p>
          <w:p w14:paraId="72576736"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Evaluación periódica al finalizar cada tema, basada en evidencias de conocimiento, desempeño y producto.</w:t>
            </w:r>
          </w:p>
          <w:p w14:paraId="1E1F7DF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Cada evidencia de producto se evalúa con su propia rúbrica de tres niveles: Insuficiente, Suficiente y Destacado.</w:t>
            </w:r>
          </w:p>
          <w:p w14:paraId="392FAC85"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La calificación de cada elemento de competencia suma las calificaciones de sus evidencias de producto.</w:t>
            </w:r>
          </w:p>
          <w:p w14:paraId="74FA2A9A"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Distribución de la calificación por elemento de competencia: Elemento 1, 20 %; Elemento 2, 35 %; Elemento 3, 35 %; Elemento 4, 10 %.</w:t>
            </w:r>
          </w:p>
          <w:p w14:paraId="3C41504E"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Dentro de cada elemento, los productos prácticos tienen mayor peso que los teóricos.</w:t>
            </w:r>
          </w:p>
          <w:p w14:paraId="30B28BA4" w14:textId="77777777" w:rsidR="00EE70B8" w:rsidRDefault="00C15354">
            <w:pPr>
              <w:numPr>
                <w:ilvl w:val="0"/>
                <w:numId w:val="6"/>
              </w:numPr>
              <w:pBdr>
                <w:top w:val="nil"/>
                <w:left w:val="nil"/>
                <w:bottom w:val="nil"/>
                <w:right w:val="nil"/>
                <w:between w:val="nil"/>
              </w:pBdr>
              <w:spacing w:before="10" w:after="10" w:line="240" w:lineRule="auto"/>
              <w:jc w:val="left"/>
              <w:rPr>
                <w:rFonts w:ascii="Century Gothic" w:hAnsi="Century Gothic" w:cs="Century Gothic" w:eastAsia="Century Gothic"/>
                <w:sz w:val="18"/>
                <w:szCs w:val="18"/>
              </w:rPr>
            </w:pPr>
            <w:r>
              <w:rPr>
                <w:rFonts w:ascii="Century Gothic" w:hAnsi="Century Gothic" w:cs="Century Gothic" w:eastAsia="Century Gothic"/>
                <w:sz w:val="18"/>
                <w:szCs w:val="18"/>
              </w:rPr>
              <w:t>La nota de cada producto (1–100) se multiplica por su peso porcentual; la suma de los 16 productos da la nota final sobre 100.</w:t>
            </w:r>
          </w:p>
        </w:tc>
      </w:tr>
      <w:tr w:rsidR="00EE70B8" w14:paraId="760508D0" w14:textId="77777777">
        <w:trPr>
          <w:cantSplit/>
        </w:trPr>
        <w:tc>
          <w:tcPr>
            <w:tcW w:w="1567" w:type="dxa"/>
            <w:gridSpan w:val="2"/>
            <w:vMerge w:val="restart"/>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519946B"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Niveles de logro y distribución de la calificación</w:t>
            </w: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15F9F26"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 </w:t>
            </w:r>
            <w:r w:rsidRPr="00C15354">
              <w:rPr>
                <w:rFonts w:ascii="Century Gothic" w:hAnsi="Century Gothic" w:cs="Century Gothic" w:eastAsia="Century Gothic"/>
                <w:sz w:val="18"/>
                <w:szCs w:val="18"/>
              </w:rPr>
              <w:t>Esquema del sistema financiero boliviano y de la constitución de una entidad financiera según la normativa aplicable de la ASFI</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C6912D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3%</w:t>
            </w:r>
          </w:p>
        </w:tc>
      </w:tr>
      <w:tr w:rsidR="00EE70B8" w14:paraId="27997FFE"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A30142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181773A" w14:textId="77777777" w:rsidR="00EE70B8" w:rsidRDefault="00C15354">
            <w:pPr>
              <w:spacing w:before="20" w:after="20" w:line="240" w:lineRule="auto"/>
              <w:jc w:val="center"/>
              <w:rPr>
                <w:rFonts w:ascii="Century Gothic" w:hAnsi="Century Gothic" w:cs="Century Gothic" w:eastAsia="Century Gothic"/>
                <w:color w:val="FFFFFF"/>
                <w:sz w:val="18"/>
                <w:szCs w:val="18"/>
              </w:rPr>
            </w:pPr>
            <w:r>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EC7D73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3984F7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52C828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F44D144"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6CFF72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349A91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Estructura del sistema financiero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E90FA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70B59C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97F2F4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instituciones y los elementos del sistema financiero de forma completa, precisa y con sustento normativo.</w:t>
            </w:r>
          </w:p>
        </w:tc>
      </w:tr>
      <w:tr w:rsidR="00EE70B8" w14:paraId="56AD007D"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E1CF2E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79F293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Constitución según la normativa de la ASFI</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FFBE2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D383CB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17F2B4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requisitos, el capital mínimo y la licencia de funcionamiento de forma completa, precisa y con sustento normativo.</w:t>
            </w:r>
          </w:p>
        </w:tc>
      </w:tr>
      <w:tr w:rsidR="00EE70B8" w14:paraId="71D473A8"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5F89B3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D687F9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CF3136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43B36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E99155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17318EC5"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E65F80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8EA0D06"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2: </w:t>
            </w:r>
            <w:r w:rsidRPr="00C15354">
              <w:rPr>
                <w:rFonts w:ascii="Century Gothic" w:hAnsi="Century Gothic" w:cs="Century Gothic" w:eastAsia="Century Gothic"/>
                <w:sz w:val="18"/>
                <w:szCs w:val="18"/>
              </w:rPr>
              <w:t>Exposición en los estados financieros de los diferentes rubros expuestos en los manuales de la ASFI</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602743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5%</w:t>
            </w:r>
          </w:p>
        </w:tc>
      </w:tr>
      <w:tr w:rsidR="00EE70B8" w14:paraId="0557D4A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33EC9C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AD073B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9F4472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B5AF0B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AD0BFB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F690A88"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584F5B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8D31D1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Aplicación del Manual de Cuentas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60EAF6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incorrectamente varias cuentas en sus grupos y subcuentas.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C6BCBE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las cuentas en sus grupos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E7AFDD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 todas las cuentas correctamente según el Manual de Cuentas de la ASFI.</w:t>
            </w:r>
          </w:p>
        </w:tc>
      </w:tr>
      <w:tr w:rsidR="00EE70B8" w14:paraId="418E4A28"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BC5CCB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E4A48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Valuación de activos y pasivos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2BE5C8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la valuación de activos y pasivos en moneda nacional y extranjera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BEF890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valuación de activos y pasivos en moneda nacional y extranjera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F685B9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valuación de activos y pasivos en moneda nacional y extranjera con exactitud y explica el procedimiento.</w:t>
            </w:r>
          </w:p>
        </w:tc>
      </w:tr>
      <w:tr w:rsidR="00EE70B8" w14:paraId="0F5C97A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BFB10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6F6505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275502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98FEE1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1AE862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269C58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32983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60658D0"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3: </w:t>
            </w:r>
            <w:r w:rsidRPr="00C15354">
              <w:rPr>
                <w:rFonts w:ascii="Century Gothic" w:hAnsi="Century Gothic" w:cs="Century Gothic" w:eastAsia="Century Gothic"/>
                <w:sz w:val="18"/>
                <w:szCs w:val="18"/>
              </w:rPr>
              <w:t>Práctica de disponibilidades con su respectiva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C89ED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6%</w:t>
            </w:r>
          </w:p>
        </w:tc>
      </w:tr>
      <w:tr w:rsidR="00EE70B8" w14:paraId="0FF98C29"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ECADCE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78A3BA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D1E46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D85C93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08456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449CF045"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382BD0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99BE32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 de papeletas contables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6749E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las operaciones de disponibilidades.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8C10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 disponibilidades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56D13C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 disponibilidades correctamente, con asientos y respaldos completos.</w:t>
            </w:r>
          </w:p>
        </w:tc>
      </w:tr>
      <w:tr w:rsidR="00EE70B8" w14:paraId="3D1406A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3BA504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DA652A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Faltantes, sobrantes y saldos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BE174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regulariza los faltantes y sobrantes o interpreta mal los saldos.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790D31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Regulariza los faltantes y sobrantes e interpreta los saldos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00003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Regulariza correctamente y explica el saldo de cada cuenta de disponibilidades.</w:t>
            </w:r>
          </w:p>
        </w:tc>
      </w:tr>
      <w:tr w:rsidR="00EE70B8" w14:paraId="0CCE489B"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44F3C7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ED02D6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36A7F6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7A6EBC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9B055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6548C19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C421F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F591C9C"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4: </w:t>
            </w:r>
            <w:r w:rsidRPr="00C15354">
              <w:rPr>
                <w:rFonts w:ascii="Century Gothic" w:hAnsi="Century Gothic" w:cs="Century Gothic" w:eastAsia="Century Gothic"/>
                <w:sz w:val="18"/>
                <w:szCs w:val="18"/>
              </w:rPr>
              <w:t>Práctica de registros de la cámara de compensación con tablas y cuadros, y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8AB78DD"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6%</w:t>
            </w:r>
          </w:p>
        </w:tc>
      </w:tr>
      <w:tr w:rsidR="00EE70B8" w14:paraId="7F88C43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337180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3A135B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A963BF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086689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F66384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56E068D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CDC716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F8881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Registros de la primera y segunda cámara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C8AA3B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los cheques de la primera y de la segunda cámara de compensación.</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DB876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los cheques de la primera y de la segunda cámara de compensación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8A2569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los cheques de la primera y de la segunda cámara de compensación correctamente, con asientos y respaldos completos.</w:t>
            </w:r>
          </w:p>
        </w:tc>
      </w:tr>
      <w:tr w:rsidR="00EE70B8" w14:paraId="09399D0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A22203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3A0B3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y cuadros de la cámara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CBEF0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incompletas o con saldos que no cuadran.</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D9CC6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completas,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279799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Tablas y cuadros completos, que cuadran y se explican.</w:t>
            </w:r>
          </w:p>
        </w:tc>
      </w:tr>
      <w:tr w:rsidR="00EE70B8" w14:paraId="531BD35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248BD0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B879C1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C7B9C3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D24B19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3BEA06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12EC624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D86FD6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B53C7A"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5: </w:t>
            </w:r>
            <w:r w:rsidRPr="00C15354">
              <w:rPr>
                <w:rFonts w:ascii="Century Gothic" w:hAnsi="Century Gothic" w:cs="Century Gothic" w:eastAsia="Century Gothic"/>
                <w:sz w:val="18"/>
                <w:szCs w:val="18"/>
              </w:rPr>
              <w:t>Movimiento contable de los depósitos en cuenta corriente en un caso práctico y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9DDF42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2B2107A5"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183C73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77D64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085DAE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A2B4CD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A2FE99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47FC9B4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D2F0AD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0C012B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clausura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39B58F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la clausura de la cuenta corriente.</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9B1BF9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cuenta corriente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30F2B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cuenta corriente correctamente, con asientos y respaldos completos.</w:t>
            </w:r>
          </w:p>
        </w:tc>
      </w:tr>
      <w:tr w:rsidR="00EE70B8" w14:paraId="6668CCE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0DD29F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F9FAD4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saldos y cierre</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C7D17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saldos y el cierre de la cuenta corriente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BAA2B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saldos y el cierre de la cuenta corriente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200DE9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saldos y el cierre de la cuenta corriente con exactitud y explica el procedimiento.</w:t>
            </w:r>
          </w:p>
        </w:tc>
      </w:tr>
      <w:tr w:rsidR="00EE70B8" w14:paraId="734DBC9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D88B52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9A2B6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57EE10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F8BE3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4B588C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0915C0D"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8480B6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EE92FBA"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6: </w:t>
            </w:r>
            <w:r w:rsidRPr="00C15354">
              <w:rPr>
                <w:rFonts w:ascii="Century Gothic" w:hAnsi="Century Gothic" w:cs="Century Gothic" w:eastAsia="Century Gothic"/>
                <w:sz w:val="18"/>
                <w:szCs w:val="18"/>
              </w:rPr>
              <w:t>Movimiento contable de los depósitos en caja de ahorro en un caso práctico y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2D8C1D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8%</w:t>
            </w:r>
          </w:p>
        </w:tc>
      </w:tr>
      <w:tr w:rsidR="00EE70B8" w14:paraId="0AAB2654"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3853DB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99E151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09AD06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E39746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D3378B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CA4C10D"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2EA252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BA1262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clausura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042B61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la clausura de la caja de ahorro.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A4F47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caja de ahorro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6D280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la clausura de la caja de ahorro correctamente, con asientos y respaldos completos.</w:t>
            </w:r>
          </w:p>
        </w:tc>
      </w:tr>
      <w:tr w:rsidR="00EE70B8" w14:paraId="1673C586"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78F0A8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593D22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intereses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2F21EB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 la caja de ahorro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D908E8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 la caja de ahorro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DB867D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 la caja de ahorro con exactitud y explica el procedimiento.</w:t>
            </w:r>
          </w:p>
        </w:tc>
      </w:tr>
      <w:tr w:rsidR="00EE70B8" w14:paraId="5150B1F8"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26D5E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8C2BC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1C7CC0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8EB16D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DD7F7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42C0CDF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FC85ED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4EC5A7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7: </w:t>
            </w:r>
            <w:r w:rsidRPr="00C15354">
              <w:rPr>
                <w:rFonts w:ascii="Century Gothic" w:hAnsi="Century Gothic" w:cs="Century Gothic" w:eastAsia="Century Gothic"/>
                <w:sz w:val="18"/>
                <w:szCs w:val="18"/>
              </w:rPr>
              <w:t>Movimiento contable de los depósitos a plazo fijo en un caso práctico y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A567B3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1539118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9AB057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0FD02D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563BC5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E3C35B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6E54948"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2219B2B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962D8C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023884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Apertura, movimiento y cierre</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E31311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apertura, el movimiento y el cierre del depósito a plazo fijo en moneda nacional y extranjera.</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360D7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el cierre del depósito a plazo fijo en moneda nacional y extranjera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4AF3F3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apertura, el movimiento y el cierre del depósito a plazo fijo en moneda nacional y extranjera correctamente, con asientos y respaldos completos.</w:t>
            </w:r>
          </w:p>
        </w:tc>
      </w:tr>
      <w:tr w:rsidR="00EE70B8" w14:paraId="4C1221CB"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EE91E98"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47957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intereses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53D03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del depósito a plazo fijo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0B415A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del depósito a plazo fijo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7AFBDD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del depósito a plazo fijo con exactitud y explica el procedimiento.</w:t>
            </w:r>
          </w:p>
        </w:tc>
      </w:tr>
      <w:tr w:rsidR="00EE70B8" w14:paraId="7598609F"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A73B6D"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09FC27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F4A22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2FD983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5C585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79E0F76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BF98B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E518B8D"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8: </w:t>
            </w:r>
            <w:r w:rsidRPr="00C15354">
              <w:rPr>
                <w:rFonts w:ascii="Century Gothic" w:hAnsi="Century Gothic" w:cs="Century Gothic" w:eastAsia="Century Gothic"/>
                <w:sz w:val="18"/>
                <w:szCs w:val="18"/>
              </w:rPr>
              <w:t>Cálculo del encaje legal y del Fondo RAL de un caso práctico</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963848C"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9%</w:t>
            </w:r>
          </w:p>
        </w:tc>
      </w:tr>
      <w:tr w:rsidR="00EE70B8" w14:paraId="3DC40F2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67F1C4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56CBA1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72CE11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FC3570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3EE085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18A21A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585776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C425B0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Encaje legal en efectivo y en títulos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8ABB0C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El cálculo del encaje legal</w:t>
            </w:r>
            <w:proofErr w:type="spellStart"/>
            <w:proofErr w:type="spellEnd"/>
            <w:r w:rsidRPr="00C15354">
              <w:rPr>
                <w:rFonts w:ascii="Century Gothic" w:hAnsi="Century Gothic" w:cs="Century Gothic" w:eastAsia="Century Gothic"/>
                <w:sz w:val="18"/>
                <w:szCs w:val="18"/>
              </w:rPr>
              <w:t xml:space="preserve"> requerido y constituido en efectivo y en títulos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DA99ED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encaje legal requerido y constituido en efectivo y en títulos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F3F115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encaje legal requerido y constituido en efectivo y en títulos con exactitud y explica el procedimiento.</w:t>
            </w:r>
          </w:p>
        </w:tc>
      </w:tr>
      <w:tr w:rsidR="00EE70B8" w14:paraId="0773D8B6"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391F9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97CBDB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Excedente, deficiencia y multa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87EC9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El cálculo del excedente</w:t>
            </w:r>
            <w:proofErr w:type="spellStart"/>
            <w:proofErr w:type="spellEnd"/>
            <w:r w:rsidRPr="00C15354">
              <w:rPr>
                <w:rFonts w:ascii="Century Gothic" w:hAnsi="Century Gothic" w:cs="Century Gothic" w:eastAsia="Century Gothic"/>
                <w:sz w:val="18"/>
                <w:szCs w:val="18"/>
              </w:rPr>
              <w:t xml:space="preserve"> o la deficiencia de encaje y la multa correspondiente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68D293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excedente o la deficiencia de encaje y la multa correspondiente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073D9B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excedente o la deficiencia de encaje y la multa correspondiente con exactitud y explica el procedimiento.</w:t>
            </w:r>
          </w:p>
        </w:tc>
      </w:tr>
      <w:tr w:rsidR="00EE70B8" w14:paraId="1958066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24D7D7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D1D17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Fondo RAL y 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95D4FF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calcula el Fondo RAL o presenta el cálculo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D0CA9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Fondo RAL con errores menores y presenta el caso de forma ordenada.</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3F9986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el Fondo RAL correctamente y presenta el caso de forma clara y completa.</w:t>
            </w:r>
          </w:p>
        </w:tc>
      </w:tr>
      <w:tr w:rsidR="00EE70B8" w14:paraId="7073AE6D"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0F966B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AE7670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9: </w:t>
            </w:r>
            <w:r w:rsidRPr="00C15354">
              <w:rPr>
                <w:rFonts w:ascii="Century Gothic" w:hAnsi="Century Gothic" w:cs="Century Gothic" w:eastAsia="Century Gothic"/>
                <w:sz w:val="18"/>
                <w:szCs w:val="18"/>
              </w:rPr>
              <w:t>Ejercicio integral de las operaciones de la cartera vigente de una entidad financiera, con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A67855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10%</w:t>
            </w:r>
          </w:p>
        </w:tc>
      </w:tr>
      <w:tr w:rsidR="00EE70B8" w14:paraId="5FE6F41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0F7789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0DB2A5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2F3A5B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8285496"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E41DDC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FF3E64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A2FD2E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7BBB87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Desembolso y recuperación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7A1B74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desembolso, el cobro de cuotas y la recuperación de los créditos vigentes.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201022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desembolso, el cobro de cuotas y la recuperación de los créditos vigentes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BC401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desembolso, el cobro de cuotas y la recuperación de los créditos vigentes correctamente, con asientos y respaldos completos.</w:t>
            </w:r>
          </w:p>
        </w:tc>
      </w:tr>
      <w:tr w:rsidR="00EE70B8" w14:paraId="1538E31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AD5506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479BAB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Devengamiento de intereses y previsión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CFC9C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devengados y la previsión de la cartera vigente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207FAE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previsión de la cartera vigente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73206B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previsión de la cartera vigente con exactitud y explica el procedimiento.</w:t>
            </w:r>
          </w:p>
        </w:tc>
      </w:tr>
      <w:tr w:rsidR="00EE70B8" w14:paraId="7D40688A"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26BC05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ABDC5A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D549CE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213AF0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82E24A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04E5897B"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AF7627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89D55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10: </w:t>
            </w:r>
            <w:r w:rsidRPr="00C15354">
              <w:rPr>
                <w:rFonts w:ascii="Century Gothic" w:hAnsi="Century Gothic" w:cs="Century Gothic" w:eastAsia="Century Gothic"/>
                <w:sz w:val="18"/>
                <w:szCs w:val="18"/>
              </w:rPr>
              <w:t>Ejercicio integral de las operaciones de la cartera vencida, con el cálculo de los intereses vencidos y penales y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5CA171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10%</w:t>
            </w:r>
          </w:p>
        </w:tc>
      </w:tr>
      <w:tr w:rsidR="00EE70B8" w14:paraId="1F111EDE"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4D7F44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BC2EAF0"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1FBBB40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EF57AC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A7329A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899EAA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D9FD8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BDFAD1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Traspaso y registro de la cartera vencida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F00E44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traspaso y las operaciones de la cartera vencida.</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041B70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y las operaciones de la cartera vencida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41870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y las operaciones de la cartera vencida correctamente, con asientos y respaldos completos.</w:t>
            </w:r>
          </w:p>
        </w:tc>
      </w:tr>
      <w:tr w:rsidR="00EE70B8" w14:paraId="697AD98E"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3CB117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0698FB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Intereses vencidos y penales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BB53F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vencidos y los intereses penales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992226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vencidos y los intereses penales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63F67B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vencidos y los intereses penales con exactitud y explica el procedimiento.</w:t>
            </w:r>
          </w:p>
        </w:tc>
      </w:tr>
      <w:tr w:rsidR="00EE70B8" w14:paraId="3D48761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8F9030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3F56F8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9C4FF17"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57AD5D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46B8E8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32C14FE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FE7130B"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ED259CB"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11: </w:t>
            </w:r>
            <w:r w:rsidRPr="00C15354">
              <w:rPr>
                <w:rFonts w:ascii="Century Gothic" w:hAnsi="Century Gothic" w:cs="Century Gothic" w:eastAsia="Century Gothic"/>
                <w:sz w:val="18"/>
                <w:szCs w:val="18"/>
              </w:rPr>
              <w:t>Tratamiento contable de los créditos con recursos de entidades financieras, con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6CBC7E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7%</w:t>
            </w:r>
          </w:p>
        </w:tc>
      </w:tr>
      <w:tr w:rsidR="00EE70B8" w14:paraId="5263D03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D23EA80"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5E7FB3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F9CD76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F00584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B471E5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D53960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A36A07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CB61B8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Obligación y desembolso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4B6D1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obligación y el desembolso del crédito con recursos de segundo piso.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5A45A2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obligación y el desembolso del crédito con recursos de segundo piso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D2270F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obligación y el desembolso del crédito con recursos de segundo piso correctamente, con asientos y respaldos completos.</w:t>
            </w:r>
          </w:p>
        </w:tc>
      </w:tr>
      <w:tr w:rsidR="00EE70B8" w14:paraId="7A6A0BC8"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AAE9701"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6E3D7E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Devengamiento y cancelación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DDEB1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los intereses devengados y la cancelación de la obligación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342D98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cancelación de la obligación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69F5AC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los intereses devengados y la cancelación de la obligación con exactitud y explica el procedimiento.</w:t>
            </w:r>
          </w:p>
        </w:tc>
      </w:tr>
      <w:tr w:rsidR="00EE70B8" w14:paraId="0D749AF9"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52FE2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7ECF9C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938334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C14AD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062E84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00E5794B"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D69ED0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3B692E2"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12: </w:t>
            </w:r>
            <w:r w:rsidRPr="00C15354">
              <w:rPr>
                <w:rFonts w:ascii="Century Gothic" w:hAnsi="Century Gothic" w:cs="Century Gothic" w:eastAsia="Century Gothic"/>
                <w:sz w:val="18"/>
                <w:szCs w:val="18"/>
              </w:rPr>
              <w:t>Tratamiento contable de la cartera en ejecución y de su recuperación mediante la adjudicación de bienes, con su exposición en los estados financieros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E2DDF8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8%</w:t>
            </w:r>
          </w:p>
        </w:tc>
      </w:tr>
      <w:tr w:rsidR="00EE70B8" w14:paraId="6A985589"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E6AE2A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585E12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C1C9639"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FBBF3DB"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886E8A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53725A4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11667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380ED3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Cartera en ejecución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419E02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el traspaso, la previsión y la recuperación de la cartera en ejecución.</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B90B5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la previsión y la recuperación de la cartera en ejecución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8F4D3E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el traspaso, la previsión y la recuperación de la cartera en ejecución correctamente, con asientos y respaldos completos.</w:t>
            </w:r>
          </w:p>
        </w:tc>
      </w:tr>
      <w:tr w:rsidR="00EE70B8" w14:paraId="5C1BA3D4"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4FD237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E465A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Adjudicación de bienes por vía legal</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C06266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 adjudicación de bienes, su previsión y su enajenación.</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2FB741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adjudicación de bienes, su previsión y su enajenación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3A06A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 adjudicación de bienes, su previsión y su enajenación correctamente, con asientos y respaldos completos.</w:t>
            </w:r>
          </w:p>
        </w:tc>
      </w:tr>
      <w:tr w:rsidR="00EE70B8" w14:paraId="6FCEE134"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68E64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25687E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Exposición en los estados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CA8BAE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No expone las operaciones o las expone con errores graves.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0161D4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las operaciones en los estados financieros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B6E416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Expone todas las operaciones correctamente, con saldos que cuadran.</w:t>
            </w:r>
          </w:p>
        </w:tc>
      </w:tr>
      <w:tr w:rsidR="00EE70B8" w14:paraId="4F9082BA"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EA28638"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03F5C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13: </w:t>
            </w:r>
            <w:r w:rsidRPr="00C15354">
              <w:rPr>
                <w:rFonts w:ascii="Century Gothic" w:hAnsi="Century Gothic" w:cs="Century Gothic" w:eastAsia="Century Gothic"/>
                <w:sz w:val="18"/>
                <w:szCs w:val="18"/>
              </w:rPr>
              <w:t>Cuadro de clasificación de los instrumentos financieros de renta fija y de renta variable</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EF8884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3CB72C9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5F3F44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AF0534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0B7262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6D3F86D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92432A1"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19C8657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A35ADF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85F96C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Clasificación de los instrumentos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629078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F134DD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29F067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instrumentos de renta fija y de renta variable de forma completa, precisa y con sustento normativo.</w:t>
            </w:r>
          </w:p>
        </w:tc>
      </w:tr>
      <w:tr w:rsidR="00EE70B8" w14:paraId="4DD937F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7E861D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8FE3B0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Activos y pasivos financieros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C2ACDF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12D2BF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CFC807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conceptos de activo financiero y de pasivo financiero de forma completa, precisa y con sustento normativo.</w:t>
            </w:r>
          </w:p>
        </w:tc>
      </w:tr>
      <w:tr w:rsidR="00EE70B8" w14:paraId="3F469362"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145A7D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844050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4807F1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098174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5C2DA8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7BF40EF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190F9B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1C960B1"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14: </w:t>
            </w:r>
            <w:r w:rsidRPr="00C15354">
              <w:rPr>
                <w:rFonts w:ascii="Century Gothic" w:hAnsi="Century Gothic" w:cs="Century Gothic" w:eastAsia="Century Gothic"/>
                <w:sz w:val="18"/>
                <w:szCs w:val="18"/>
              </w:rPr>
              <w:t>Esquema del mercado de valores boliviano con los agentes de bolsa, las SAFI y los tipos de fondos de inversión</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58F0D0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619FA9B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CEE7AB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3E66A77"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98F229B"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32F8A2D"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1D4892F"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E6EBBEA"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53DBF1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CD7F23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Organización del mercado de valores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37468F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3ECD4E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FAF983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los participantes del mercado de valores boliviano de forma completa, precisa y con sustento normativo.</w:t>
            </w:r>
          </w:p>
        </w:tc>
      </w:tr>
      <w:tr w:rsidR="00EE70B8" w14:paraId="0C0B05C4"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92BBC5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DE49E7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Agentes de bolsa y SAFI</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69FD45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CA194F3"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DDC007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 función de los agentes de bolsa, de las SAFI y de los tipos de fondos de forma completa, precisa y con sustento normativo.</w:t>
            </w:r>
          </w:p>
        </w:tc>
      </w:tr>
      <w:tr w:rsidR="00EE70B8" w14:paraId="183F33B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DE8E19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22DF8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6E5318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AAD85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239A36C"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6CF47353"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BAF9FEA"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96A2D5"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15: </w:t>
            </w:r>
            <w:r w:rsidRPr="00C15354">
              <w:rPr>
                <w:rFonts w:ascii="Century Gothic" w:hAnsi="Century Gothic" w:cs="Century Gothic" w:eastAsia="Century Gothic"/>
                <w:sz w:val="18"/>
                <w:szCs w:val="18"/>
              </w:rPr>
              <w:t>Esquema de las entidades auxiliares financieras y de las empresas de tecnología financiera, con sus principales operaciones</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4CF1A28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2%</w:t>
            </w:r>
          </w:p>
        </w:tc>
      </w:tr>
      <w:tr w:rsidR="00EE70B8" w14:paraId="3E83653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8F91B07"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78EE0B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F4EB79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9E6457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204D59A"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631EFDDE"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1CDC02C"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D523AB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Tipos de entidades auxiliares</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6A44DE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84EAB8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D1754D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entidades auxiliares financieras y las empresas de tecnología financiera de forma completa, precisa y con sustento normativo.</w:t>
            </w:r>
          </w:p>
        </w:tc>
      </w:tr>
      <w:tr w:rsidR="00EE70B8" w14:paraId="4BD122DA"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6FE2336"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E99A83B"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Operaciones y constitución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7D7C290"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de forma incompleta o con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B4FF41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con las ideas principales y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552FD6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Describe las principales operaciones y la constitución de estas entidades de forma completa, precisa y con sustento normativo.</w:t>
            </w:r>
          </w:p>
        </w:tc>
      </w:tr>
      <w:tr w:rsidR="00EE70B8" w14:paraId="3D8DC0A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132E062"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7D6EB9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Claridad y presentación</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B19C1F9"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desordenada o con errores ortográficos frecuentes.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633426E"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ordenada y comprensible, con omisiones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78828A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Presentación clara, jerárquica y sin errores ortográficos.</w:t>
            </w:r>
          </w:p>
        </w:tc>
      </w:tr>
      <w:tr w:rsidR="00EE70B8" w14:paraId="4AFA0BA1"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224A2E9"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528A68C2" w14:textId="77777777" w:rsidR="00EE70B8" w:rsidRPr="00C15354" w:rsidRDefault="00C15354">
            <w:pPr>
              <w:spacing w:before="20" w:after="20" w:line="240" w:lineRule="auto"/>
              <w:jc w:val="center"/>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 xml:space="preserve">Producto 16: </w:t>
            </w:r>
            <w:r w:rsidRPr="00C15354">
              <w:rPr>
                <w:rFonts w:ascii="Century Gothic" w:hAnsi="Century Gothic" w:cs="Century Gothic" w:eastAsia="Century Gothic"/>
                <w:sz w:val="18"/>
                <w:szCs w:val="18"/>
              </w:rPr>
              <w:t>Caso práctico de leasing con su registro contable básico y cuadro comparativo frente al crédito bancario</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2E1C97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color w:val="FFFFFF"/>
                <w:sz w:val="18"/>
                <w:szCs w:val="18"/>
              </w:rPr>
              <w:t>Peso: 4%</w:t>
            </w:r>
          </w:p>
        </w:tc>
      </w:tr>
      <w:tr w:rsidR="00EE70B8" w14:paraId="4B0C32FC"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59D0AEF"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4B95ECC"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Criterio</w:t>
            </w:r>
          </w:p>
        </w:tc>
        <w:tc>
          <w:tcPr>
            <w:tcW w:w="1959" w:type="dxa"/>
            <w:gridSpan w:val="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76768834"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Insuficiente (1–50)</w:t>
            </w:r>
          </w:p>
        </w:tc>
        <w:tc>
          <w:tcPr>
            <w:tcW w:w="1965" w:type="dxa"/>
            <w:gridSpan w:val="5"/>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3C5439C3"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Suficiente (51–80)</w:t>
            </w:r>
          </w:p>
        </w:tc>
        <w:tc>
          <w:tcPr>
            <w:tcW w:w="1952" w:type="dxa"/>
            <w:gridSpan w:val="2"/>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0638C5E2"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Destacado (81–100)</w:t>
            </w:r>
          </w:p>
        </w:tc>
      </w:tr>
      <w:tr w:rsidR="00EE70B8" w14:paraId="0DBF0A9A"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E0CDD1E"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E8B8D2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Cálculo de la cuota</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AB224E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El cálculo de la cuota del contrato de leasing es incorrecto o está incompleto.</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F3E5355"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cuota del contrato de leasing con diferencias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450FE488"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Calcula la cuota del contrato de leasing con exactitud y explica el procedimiento.</w:t>
            </w:r>
          </w:p>
        </w:tc>
      </w:tr>
      <w:tr w:rsidR="00EE70B8" w14:paraId="13DF7C07"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5067D93"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50C631F"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Registro contable básico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743535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Omite operaciones o registra incorrectamente las operaciones del contrato de leasing.</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0CE0D121"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del contrato de leasing con errores menores.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7C38C0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Registra las operaciones del contrato de leasing correctamente, con asientos y respaldos completos.</w:t>
            </w:r>
          </w:p>
        </w:tc>
      </w:tr>
      <w:tr w:rsidR="00EE70B8" w14:paraId="11027330" w14:textId="77777777">
        <w:trPr>
          <w:cantSplit/>
        </w:trPr>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7FA5D4B5"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1959" w:type="dxa"/>
            <w:gridSpan w:val="4"/>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17DE1E7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Comparación con el crédito bancario</w:t>
            </w:r>
          </w:p>
        </w:tc>
        <w:tc>
          <w:tcPr>
            <w:tcW w:w="1959" w:type="dxa"/>
            <w:gridSpan w:val="3"/>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F446944"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La comparación es incompleta o contiene errores conceptuales.</w:t>
            </w:r>
          </w:p>
        </w:tc>
        <w:tc>
          <w:tcPr>
            <w:tcW w:w="1965" w:type="dxa"/>
            <w:gridSpan w:val="5"/>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3E8736F6"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 el leasing con el crédito bancario con diferencias y ventajas principales.</w:t>
            </w:r>
          </w:p>
        </w:tc>
        <w:tc>
          <w:tcPr>
            <w:tcW w:w="1952" w:type="dxa"/>
            <w:gridSpan w:val="2"/>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64544C5D"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Compara con precisión, incluye ventajas y desventajas y concluye con fundamento.</w:t>
            </w:r>
          </w:p>
        </w:tc>
      </w:tr>
      <w:tr w:rsidR="00EE70B8" w14:paraId="2DE4EC1D" w14:textId="77777777">
        <w:tc>
          <w:tcPr>
            <w:tcW w:w="1567" w:type="dxa"/>
            <w:gridSpan w:val="2"/>
            <w:vMerge/>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vAlign w:val="center"/>
          </w:tcPr>
          <w:p w14:paraId="2609C564" w14:textId="77777777" w:rsidR="00EE70B8" w:rsidRDefault="00EE70B8">
            <w:pPr>
              <w:widowControl w:val="0"/>
              <w:pBdr>
                <w:top w:val="nil"/>
                <w:left w:val="nil"/>
                <w:bottom w:val="nil"/>
                <w:right w:val="nil"/>
                <w:between w:val="nil"/>
              </w:pBdr>
              <w:spacing w:line="240" w:lineRule="auto"/>
              <w:jc w:val="left"/>
              <w:rPr>
                <w:rFonts w:ascii="Century Gothic" w:hAnsi="Century Gothic" w:cs="Century Gothic" w:eastAsia="Century Gothic"/>
                <w:sz w:val="18"/>
                <w:szCs w:val="18"/>
              </w:rPr>
            </w:pPr>
          </w:p>
        </w:tc>
        <w:tc>
          <w:tcPr>
            <w:tcW w:w="6270" w:type="dxa"/>
            <w:gridSpan w:val="13"/>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5FE655B5"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TOTAL</w:t>
            </w:r>
          </w:p>
        </w:tc>
        <w:tc>
          <w:tcPr>
            <w:tcW w:w="1567" w:type="dxa"/>
            <w:tcBorders>
              <w:top w:val="single" w:sz="4" w:space="0" w:color="4472C4"/>
              <w:left w:val="single" w:sz="4" w:space="0" w:color="4472C4"/>
              <w:bottom w:val="single" w:sz="4" w:space="0" w:color="4472C4"/>
              <w:right w:val="single" w:sz="4" w:space="0" w:color="4472C4"/>
            </w:tcBorders>
            <w:shd w:val="clear" w:color="auto" w:fill="4472C4"/>
            <w:tcMar>
              <w:top w:w="50" w:type="dxa"/>
              <w:left w:w="90" w:type="dxa"/>
              <w:bottom w:w="50" w:type="dxa"/>
              <w:right w:w="90" w:type="dxa"/>
            </w:tcMar>
            <w:vAlign w:val="center"/>
          </w:tcPr>
          <w:p w14:paraId="2272EC6E" w14:textId="77777777" w:rsidR="00EE70B8" w:rsidRPr="00C15354" w:rsidRDefault="00C15354">
            <w:pPr>
              <w:spacing w:before="20" w:after="20" w:line="240" w:lineRule="auto"/>
              <w:jc w:val="center"/>
              <w:rPr>
                <w:rFonts w:ascii="Century Gothic" w:hAnsi="Century Gothic" w:cs="Century Gothic" w:eastAsia="Century Gothic"/>
                <w:color w:val="FFFFFF"/>
                <w:sz w:val="18"/>
                <w:szCs w:val="18"/>
              </w:rPr>
            </w:pPr>
            <w:r w:rsidRPr="00C15354">
              <w:rPr>
                <w:rFonts w:ascii="Century Gothic" w:hAnsi="Century Gothic" w:cs="Century Gothic" w:eastAsia="Century Gothic"/>
                <w:b/>
                <w:bCs/>
                <w:i/>
                <w:iCs/>
                <w:color w:val="FFFFFF"/>
                <w:sz w:val="18"/>
                <w:szCs w:val="18"/>
              </w:rPr>
              <w:t>100%</w:t>
            </w:r>
          </w:p>
        </w:tc>
      </w:tr>
      <w:tr w:rsidR="00EE70B8" w14:paraId="7FEDE561" w14:textId="77777777">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4242D832"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Bibliografía básica:</w:t>
            </w:r>
          </w:p>
          <w:p w14:paraId="196CD0D4"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Manual de Cuentas para Entidades Financieras</w:t>
            </w:r>
            <w:r w:rsidRPr="00C15354">
              <w:rPr>
                <w:rFonts w:ascii="Century Gothic" w:hAnsi="Century Gothic" w:cs="Century Gothic" w:eastAsia="Century Gothic"/>
                <w:sz w:val="18"/>
                <w:szCs w:val="18"/>
              </w:rPr>
              <w:t>. La Paz – Bolivia.</w:t>
            </w:r>
          </w:p>
          <w:p w14:paraId="7E94269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Recopilación de Normas para Servicios Financieros</w:t>
            </w:r>
            <w:r w:rsidRPr="00C15354">
              <w:rPr>
                <w:rFonts w:ascii="Century Gothic" w:hAnsi="Century Gothic" w:cs="Century Gothic" w:eastAsia="Century Gothic"/>
                <w:sz w:val="18"/>
                <w:szCs w:val="18"/>
              </w:rPr>
              <w:t>. La Paz – Bolivia.</w:t>
            </w:r>
          </w:p>
          <w:p w14:paraId="149A2776"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ASFI (s.f.). </w:t>
            </w:r>
            <w:r w:rsidRPr="00C15354">
              <w:rPr>
                <w:rFonts w:ascii="Century Gothic" w:hAnsi="Century Gothic" w:cs="Century Gothic" w:eastAsia="Century Gothic"/>
                <w:i/>
                <w:iCs/>
                <w:sz w:val="18"/>
                <w:szCs w:val="18"/>
              </w:rPr>
              <w:t>Circulares de Servicios Financieros</w:t>
            </w:r>
            <w:r w:rsidRPr="00C15354">
              <w:rPr>
                <w:rFonts w:ascii="Century Gothic" w:hAnsi="Century Gothic" w:cs="Century Gothic" w:eastAsia="Century Gothic"/>
                <w:sz w:val="18"/>
                <w:szCs w:val="18"/>
              </w:rPr>
              <w:t>. La Paz – Bolivia.</w:t>
            </w:r>
          </w:p>
          <w:p w14:paraId="78E885D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Autoridad de Supervisión del Sistema Financiero. Circular ASFI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749/2022, sobre los lineamientos para la emisión de bonos verdes, sociales y sostenibles.</w:t>
            </w:r>
          </w:p>
          <w:p w14:paraId="0B63C794"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Autoridad de Supervisión del Sistema Financiero. Resolución ASFI/540/2025, de 3 de julio de 2025, Reglamento para Empresas de Tecnología Financiera.</w:t>
            </w:r>
          </w:p>
          <w:p w14:paraId="0DEC220E"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Banco Central de Bolivia. Resolución de Directorio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079/2022, de 6 de septiembre de 2022, Reglamento de Servicios de Pago, Instrumentos Electrónicos de Pago, Compensación y Liquidación.</w:t>
            </w:r>
          </w:p>
          <w:p w14:paraId="36E329C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Banco Central de Bolivia. Resolución de Directorio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118/2026, de 31 de julio de 2026, que modifica el Reglamento de Encaje Legal.</w:t>
            </w:r>
          </w:p>
          <w:p w14:paraId="43C6CE6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Código de Comercio, Decreto 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14379, de 25 de febrero de 1977.</w:t>
            </w:r>
          </w:p>
          <w:p w14:paraId="3CE9ED3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Código Tributario Boliviano, 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2492, de 2 de agosto de 2003.</w:t>
            </w:r>
          </w:p>
          <w:p w14:paraId="753EF52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Colegio de Auditores o Contadores Públicos de Bolivia, CAUB – Consejo Técnico Nacional de Auditoría y Contabilidad, CTNAC (2023). </w:t>
            </w:r>
            <w:r w:rsidRPr="00C15354">
              <w:rPr>
                <w:rFonts w:ascii="Century Gothic" w:hAnsi="Century Gothic" w:cs="Century Gothic" w:eastAsia="Century Gothic"/>
                <w:i/>
                <w:iCs/>
                <w:sz w:val="18"/>
                <w:szCs w:val="18"/>
              </w:rPr>
              <w:t>Compendio de Normas de Contabilidad y Auditoría</w:t>
            </w:r>
            <w:r w:rsidRPr="00C15354">
              <w:rPr>
                <w:rFonts w:ascii="Century Gothic" w:hAnsi="Century Gothic" w:cs="Century Gothic" w:eastAsia="Century Gothic"/>
                <w:sz w:val="18"/>
                <w:szCs w:val="18"/>
              </w:rPr>
              <w:t>. Santa Cruz – Bolivia.</w:t>
            </w:r>
          </w:p>
          <w:p w14:paraId="0B4EE72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0530, Aplicación del Interés Penal.</w:t>
            </w:r>
          </w:p>
          <w:p w14:paraId="6D05A571"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1842, Tasas de Interés y Niveles de Cartera.</w:t>
            </w:r>
          </w:p>
          <w:p w14:paraId="0CA8D2B2"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2055, Aplicación de Tasas de Interés Mínimas para Depósitos del Público.</w:t>
            </w:r>
          </w:p>
          <w:p w14:paraId="43A7A6D8"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Decreto Supremo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4904, de 5 de abril de 2023, Reglamento de la Unidad de Investigaciones Financieras.</w:t>
            </w:r>
          </w:p>
          <w:p w14:paraId="11B87E72"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1670 del Banco Central de Bolivia, de 31 de octubre de 1995.</w:t>
            </w:r>
          </w:p>
          <w:p w14:paraId="6DD783F3"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Ley </w:t>
            </w:r>
            <w:proofErr w:type="spellStart"/>
            <w:r w:rsidRPr="00C15354">
              <w:rPr>
                <w:rFonts w:ascii="Century Gothic" w:hAnsi="Century Gothic" w:cs="Century Gothic" w:eastAsia="Century Gothic"/>
                <w:sz w:val="18"/>
                <w:szCs w:val="18"/>
              </w:rPr>
              <w:t>N°</w:t>
            </w:r>
            <w:proofErr w:type="spellEnd"/>
            <w:r w:rsidRPr="00C15354">
              <w:rPr>
                <w:rFonts w:ascii="Century Gothic" w:hAnsi="Century Gothic" w:cs="Century Gothic" w:eastAsia="Century Gothic"/>
                <w:sz w:val="18"/>
                <w:szCs w:val="18"/>
              </w:rPr>
              <w:t xml:space="preserve"> 393 de Servicios Financieros, de 21 de agosto de 2013.</w:t>
            </w:r>
          </w:p>
        </w:tc>
      </w:tr>
      <w:tr w:rsidR="00EE70B8" w14:paraId="1FB495FF" w14:textId="77777777">
        <w:tc>
          <w:tcPr>
            <w:tcW w:w="9405" w:type="dxa"/>
            <w:gridSpan w:val="16"/>
            <w:tcBorders>
              <w:top w:val="single" w:sz="4" w:space="0" w:color="8EAADB"/>
              <w:left w:val="single" w:sz="4" w:space="0" w:color="8EAADB"/>
              <w:bottom w:val="single" w:sz="4" w:space="0" w:color="8EAADB"/>
              <w:right w:val="single" w:sz="4" w:space="0" w:color="8EAADB"/>
            </w:tcBorders>
            <w:shd w:val="clear" w:color="auto" w:fill="D9E2F3"/>
            <w:tcMar>
              <w:top w:w="50" w:type="dxa"/>
              <w:left w:w="90" w:type="dxa"/>
              <w:bottom w:w="50" w:type="dxa"/>
              <w:right w:w="90" w:type="dxa"/>
            </w:tcMar>
          </w:tcPr>
          <w:p w14:paraId="6485ADDA" w14:textId="77777777" w:rsidR="00EE70B8" w:rsidRPr="00C15354" w:rsidRDefault="00C15354">
            <w:pPr>
              <w:spacing w:before="20" w:after="20" w:line="240" w:lineRule="auto"/>
              <w:jc w:val="left"/>
              <w:rPr>
                <w:rFonts w:ascii="Century Gothic" w:hAnsi="Century Gothic" w:cs="Century Gothic" w:eastAsia="Century Gothic"/>
                <w:sz w:val="18"/>
                <w:szCs w:val="18"/>
              </w:rPr>
            </w:pPr>
            <w:r w:rsidRPr="00C15354">
              <w:rPr>
                <w:rFonts w:ascii="Century Gothic" w:hAnsi="Century Gothic" w:cs="Century Gothic" w:eastAsia="Century Gothic"/>
                <w:b/>
                <w:bCs/>
                <w:i/>
                <w:iCs/>
                <w:sz w:val="18"/>
                <w:szCs w:val="18"/>
              </w:rPr>
              <w:t>Bibliografía complementaria:</w:t>
            </w:r>
          </w:p>
          <w:p w14:paraId="776B6885"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Alvarado </w:t>
            </w:r>
            <w:proofErr w:type="spellStart"/>
            <w:r w:rsidRPr="00C15354">
              <w:rPr>
                <w:rFonts w:ascii="Century Gothic" w:hAnsi="Century Gothic" w:cs="Century Gothic" w:eastAsia="Century Gothic"/>
                <w:sz w:val="18"/>
                <w:szCs w:val="18"/>
              </w:rPr>
              <w:t>Ralde</w:t>
            </w:r>
            <w:proofErr w:type="spellEnd"/>
            <w:r w:rsidRPr="00C15354">
              <w:rPr>
                <w:rFonts w:ascii="Century Gothic" w:hAnsi="Century Gothic" w:cs="Century Gothic" w:eastAsia="Century Gothic"/>
                <w:sz w:val="18"/>
                <w:szCs w:val="18"/>
              </w:rPr>
              <w:t xml:space="preserve">, H. (2023). </w:t>
            </w:r>
            <w:r w:rsidRPr="00C15354">
              <w:rPr>
                <w:rFonts w:ascii="Century Gothic" w:hAnsi="Century Gothic" w:cs="Century Gothic" w:eastAsia="Century Gothic"/>
                <w:i/>
                <w:iCs/>
                <w:sz w:val="18"/>
                <w:szCs w:val="18"/>
              </w:rPr>
              <w:t>Contabilidad para Entidades Financieras con Excel</w:t>
            </w:r>
            <w:r w:rsidRPr="00C15354">
              <w:rPr>
                <w:rFonts w:ascii="Century Gothic" w:hAnsi="Century Gothic" w:cs="Century Gothic" w:eastAsia="Century Gothic"/>
                <w:sz w:val="18"/>
                <w:szCs w:val="18"/>
              </w:rPr>
              <w:t>. La Paz – Bolivia.</w:t>
            </w:r>
          </w:p>
          <w:p w14:paraId="6E95BED5"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Autoridad de Supervisión del Sistema Financiero. Boletín informativo trimestral y reportes del sistema financiero.</w:t>
            </w:r>
          </w:p>
          <w:p w14:paraId="01C6EFC9"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Comité de Supervisión Bancaria de Basilea (2011). </w:t>
            </w:r>
            <w:r w:rsidRPr="00C15354">
              <w:rPr>
                <w:rFonts w:ascii="Century Gothic" w:hAnsi="Century Gothic" w:cs="Century Gothic" w:eastAsia="Century Gothic"/>
                <w:i/>
                <w:iCs/>
                <w:sz w:val="18"/>
                <w:szCs w:val="18"/>
              </w:rPr>
              <w:t>Basilea III: marco regulador global para reforzar los bancos y sistemas bancarios</w:t>
            </w:r>
            <w:r w:rsidRPr="00C15354">
              <w:rPr>
                <w:rFonts w:ascii="Century Gothic" w:hAnsi="Century Gothic" w:cs="Century Gothic" w:eastAsia="Century Gothic"/>
                <w:sz w:val="18"/>
                <w:szCs w:val="18"/>
              </w:rPr>
              <w:t>. Basilea: Banco de Pagos Internacionales.</w:t>
            </w:r>
          </w:p>
          <w:p w14:paraId="47E9B5F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Consejo de Normas Internacionales de Contabilidad (IASB). NIIF 9 Instrumentos Financieros y NIIF 16 Arrendamientos.</w:t>
            </w:r>
          </w:p>
          <w:p w14:paraId="6BF72E5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Mejía Flores, N. R. (2021). </w:t>
            </w:r>
            <w:r w:rsidRPr="00C15354">
              <w:rPr>
                <w:rFonts w:ascii="Century Gothic" w:hAnsi="Century Gothic" w:cs="Century Gothic" w:eastAsia="Century Gothic"/>
                <w:i/>
                <w:iCs/>
                <w:sz w:val="18"/>
                <w:szCs w:val="18"/>
              </w:rPr>
              <w:t>El ABC de la Contabilidad de Bancos y Entidades Financieras</w:t>
            </w:r>
            <w:r w:rsidRPr="00C15354">
              <w:rPr>
                <w:rFonts w:ascii="Century Gothic" w:hAnsi="Century Gothic" w:cs="Century Gothic" w:eastAsia="Century Gothic"/>
                <w:sz w:val="18"/>
                <w:szCs w:val="18"/>
              </w:rPr>
              <w:t>. La Paz – Bolivia.</w:t>
            </w:r>
          </w:p>
          <w:p w14:paraId="04BA578B"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r w:rsidRPr="00C15354">
              <w:rPr>
                <w:rFonts w:ascii="Century Gothic" w:hAnsi="Century Gothic" w:cs="Century Gothic" w:eastAsia="Century Gothic"/>
                <w:sz w:val="18"/>
                <w:szCs w:val="18"/>
              </w:rPr>
              <w:t xml:space="preserve">Mendoza </w:t>
            </w:r>
            <w:proofErr w:type="spellStart"/>
            <w:r w:rsidRPr="00C15354">
              <w:rPr>
                <w:rFonts w:ascii="Century Gothic" w:hAnsi="Century Gothic" w:cs="Century Gothic" w:eastAsia="Century Gothic"/>
                <w:sz w:val="18"/>
                <w:szCs w:val="18"/>
              </w:rPr>
              <w:t>Mendoza</w:t>
            </w:r>
            <w:proofErr w:type="spellEnd"/>
            <w:r w:rsidRPr="00C15354">
              <w:rPr>
                <w:rFonts w:ascii="Century Gothic" w:hAnsi="Century Gothic" w:cs="Century Gothic" w:eastAsia="Century Gothic"/>
                <w:sz w:val="18"/>
                <w:szCs w:val="18"/>
              </w:rPr>
              <w:t xml:space="preserve">, L. A. (2023). </w:t>
            </w:r>
            <w:r w:rsidRPr="00C15354">
              <w:rPr>
                <w:rFonts w:ascii="Century Gothic" w:hAnsi="Century Gothic" w:cs="Century Gothic" w:eastAsia="Century Gothic"/>
                <w:i/>
                <w:iCs/>
                <w:sz w:val="18"/>
                <w:szCs w:val="18"/>
              </w:rPr>
              <w:t>Contabilidad de Bancos y Entidades Financieras</w:t>
            </w:r>
            <w:r w:rsidRPr="00C15354">
              <w:rPr>
                <w:rFonts w:ascii="Century Gothic" w:hAnsi="Century Gothic" w:cs="Century Gothic" w:eastAsia="Century Gothic"/>
                <w:sz w:val="18"/>
                <w:szCs w:val="18"/>
              </w:rPr>
              <w:t>. La Paz – Bolivia: Ediciones Punto e Imagen.</w:t>
            </w:r>
          </w:p>
          <w:p w14:paraId="7BBD13FC" w14:textId="77777777" w:rsidR="00EE70B8" w:rsidRPr="00C15354" w:rsidRDefault="00C15354">
            <w:pPr>
              <w:spacing w:before="10" w:after="10" w:line="240" w:lineRule="auto"/>
              <w:ind w:left="360" w:hanging="360"/>
              <w:rPr>
                <w:rFonts w:ascii="Century Gothic" w:hAnsi="Century Gothic" w:cs="Century Gothic" w:eastAsia="Century Gothic"/>
                <w:sz w:val="18"/>
                <w:szCs w:val="18"/>
              </w:rPr>
            </w:pPr>
            <w:bookmarkStart w:id="1" w:name="_fn2y8dqxjwh7" w:colFirst="0" w:colLast="0"/>
            <w:bookmarkEnd w:id="1"/>
            <w:r w:rsidRPr="00C15354">
              <w:rPr>
                <w:rFonts w:ascii="Century Gothic" w:hAnsi="Century Gothic" w:cs="Century Gothic" w:eastAsia="Century Gothic"/>
                <w:sz w:val="18"/>
                <w:szCs w:val="18"/>
              </w:rPr>
              <w:t>Sitios web oficiales: www.asfi.gob.bo, www.bcb.gob.bo, www.bbv.com.bo y www.uif.gob.bo.</w:t>
            </w:r>
          </w:p>
        </w:tc>
      </w:tr>
    </w:tbl>
    <w:p w14:paraId="6DEB1D64" w14:textId="77777777" w:rsidR="00EE70B8" w:rsidRDefault="00EE70B8">
      <w:pPr>
        <w:spacing w:line="240" w:lineRule="auto"/>
        <w:rPr>
          <w:rFonts w:ascii="Century Gothic" w:hAnsi="Century Gothic" w:cs="Century Gothic" w:eastAsia="Century Gothic"/>
          <w:sz w:val="20"/>
          <w:szCs w:val="20"/>
        </w:rPr>
      </w:pPr>
    </w:p>
    <w:sectPr w:rsidR="00EE70B8">
      <w:footerReference w:type="default" r:id="rId7"/>
      <w:headerReference w:type="default" r:id="rId10"/>
      <w:pgSz w:w="12240" w:h="15840"/>
      <w:pgMar w:top="1701"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F5BCEDB" w14:textId="77777777" w:rsidR="007862E6" w:rsidRDefault="00C15354">
      <w:r>
        <w:separator/>
      </w:r>
    </w:p>
  </w:endnote>
  <w:endnote w:type="continuationSeparator" w:id="0">
    <w:p w14:paraId="2CD51A0F" w14:textId="77777777" w:rsidR="007862E6" w:rsidRDefault="00C15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99E6248-C696-4174-AA94-87194648BB3D}"/>
  </w:font>
  <w:font w:name="Calibri">
    <w:panose1 w:val="020F0502020204030204"/>
    <w:charset w:val="00"/>
    <w:family w:val="swiss"/>
    <w:pitch w:val="variable"/>
    <w:sig w:usb0="E0002AFF" w:usb1="4000ACFF" w:usb2="00000001" w:usb3="00000000" w:csb0="000001FF" w:csb1="00000000"/>
    <w:embedRegular r:id="rId2" w:fontKey="{9315F837-84A0-4E71-82E9-2276702C589B}"/>
  </w:font>
  <w:font w:name="Cambria">
    <w:panose1 w:val="02040503050406030204"/>
    <w:charset w:val="00"/>
    <w:family w:val="roman"/>
    <w:pitch w:val="variable"/>
    <w:sig w:usb0="E00006FF" w:usb1="420024FF" w:usb2="02000000" w:usb3="00000000" w:csb0="0000019F" w:csb1="00000000"/>
    <w:embedRegular r:id="rId3" w:fontKey="{657AB022-3082-4149-9FE6-0584348E7F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1BED5F" w14:textId="77777777" w:rsidR="007862E6" w:rsidRDefault="00C15354">
      <w:r>
        <w:separator/>
      </w:r>
    </w:p>
  </w:footnote>
  <w:footnote w:type="continuationSeparator" w:id="0">
    <w:p w14:paraId="2793C4FE" w14:textId="77777777" w:rsidR="007862E6" w:rsidRDefault="00C15354">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227D"/>
    <w:multiLevelType w:val="multilevel"/>
    <w:tmpl w:val="888E16C0"/>
    <w:lvl w:ilvl="0">
      <w:start w:val="1"/>
      <w:numFmt w:val="bullet"/>
      <w:lvlText w:val=""/>
      <w:lvlJc w:val="left"/>
      <w:pPr>
        <w:ind w:left="360" w:hanging="260"/>
      </w:pPr>
      <w:rPr>
        <w:rFonts w:ascii="Wingdings" w:hAnsi="Wingdings" w:hint="default"/>
      </w:r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1" w15:restartNumberingAfterBreak="0">
    <w:nsid w:val="07A57E6B"/>
    <w:multiLevelType w:val="multilevel"/>
    <w:tmpl w:val="3BEA0262"/>
    <w:lvl w:ilvl="0">
      <w:start w:val="1"/>
      <w:numFmt w:val="bullet"/>
      <w:lvlText w:val=""/>
      <w:lvlJc w:val="left"/>
      <w:pPr>
        <w:ind w:left="360" w:hanging="260"/>
      </w:pPr>
      <w:rPr>
        <w:rFonts w:ascii="Wingdings" w:hAnsi="Wingdings" w:hint="default"/>
      </w:r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2" w15:restartNumberingAfterBreak="0">
    <w:nsid w:val="0EBD0FB3"/>
    <w:multiLevelType w:val="multilevel"/>
    <w:tmpl w:val="DBC6D734"/>
    <w:lvl w:ilvl="0">
      <w:start w:val="1"/>
      <w:numFmt w:val="decimal"/>
      <w:lvlText w:val="%1."/>
      <w:lvlJc w:val="left"/>
      <w:pPr>
        <w:ind w:left="400" w:hanging="3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26583CED"/>
    <w:multiLevelType w:val="multilevel"/>
    <w:tmpl w:val="2E106820"/>
    <w:lvl w:ilvl="0">
      <w:start w:val="1"/>
      <w:numFmt w:val="decimal"/>
      <w:lvlText w:val="%1."/>
      <w:lvlJc w:val="left"/>
      <w:pPr>
        <w:ind w:left="500" w:hanging="40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4" w15:restartNumberingAfterBreak="0">
    <w:nsid w:val="2B150E53"/>
    <w:multiLevelType w:val="multilevel"/>
    <w:tmpl w:val="861A317C"/>
    <w:lvl w:ilvl="0">
      <w:start w:val="1"/>
      <w:numFmt w:val="decimal"/>
      <w:lvlText w:val="%1."/>
      <w:lvlJc w:val="left"/>
      <w:pPr>
        <w:ind w:left="420" w:hanging="42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5" w15:restartNumberingAfterBreak="0">
    <w:nsid w:val="51597770"/>
    <w:multiLevelType w:val="multilevel"/>
    <w:tmpl w:val="8E5CE662"/>
    <w:lvl w:ilvl="0">
      <w:start w:val="1"/>
      <w:numFmt w:val="bullet"/>
      <w:lvlText w:val=""/>
      <w:lvlJc w:val="left"/>
      <w:pPr>
        <w:ind w:left="260" w:hanging="220"/>
      </w:pPr>
      <w:rPr>
        <w:rFonts w:ascii="Wingdings" w:hAnsi="Wingdings" w:hint="default"/>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73665E00"/>
    <w:multiLevelType w:val="multilevel"/>
    <w:tmpl w:val="CD245212"/>
    <w:lvl w:ilvl="0">
      <w:start w:val="1"/>
      <w:numFmt w:val="decimal"/>
      <w:lvlText w:val="%1."/>
      <w:lvlJc w:val="left"/>
      <w:pPr>
        <w:ind w:left="420" w:hanging="420"/>
      </w:pPr>
    </w:lvl>
    <w:lvl w:ilvl="1">
      <w:start w:val="1"/>
      <w:numFmt w:val="bullet"/>
      <w:lvlText w:val="–"/>
      <w:lvlJc w:val="left"/>
      <w:pPr>
        <w:ind w:left="0" w:firstLine="0"/>
      </w:pPr>
      <w:rPr>
        <w:rFonts w:ascii="Century Gothic" w:hAnsi="Century Gothic" w:cs="Century Gothic" w:hint="default"/>
      </w:rPr>
    </w:lvl>
    <w:lvl w:ilvl="2">
      <w:start w:val="1"/>
      <w:numFmt w:val="bullet"/>
      <w:lvlText w:val=""/>
      <w:lvlJc w:val="left"/>
      <w:pPr>
        <w:ind w:left="0" w:firstLine="0"/>
      </w:pPr>
      <w:rPr>
        <w:rFonts w:ascii="Wingdings" w:hAnsi="Wingdings" w:hint="default"/>
      </w:rPr>
    </w:lvl>
    <w:lvl w:ilvl="3">
      <w:start w:val="1"/>
      <w:numFmt w:val="bullet"/>
      <w:lvlText w:val=""/>
      <w:lvlJc w:val="left"/>
      <w:pPr>
        <w:ind w:left="0" w:firstLine="0"/>
      </w:pPr>
      <w:rPr>
        <w:rFonts w:ascii="Wingdings" w:hAnsi="Wingdings" w:hint="default"/>
      </w:rPr>
    </w:lvl>
    <w:lvl w:ilvl="4">
      <w:start w:val="1"/>
      <w:numFmt w:val="bullet"/>
      <w:lvlText w:val=""/>
      <w:lvlJc w:val="left"/>
      <w:pPr>
        <w:ind w:left="0" w:firstLine="0"/>
      </w:pPr>
      <w:rPr>
        <w:rFonts w:ascii="Wingdings" w:hAnsi="Wingdings" w:hint="default"/>
      </w:rPr>
    </w:lvl>
    <w:lvl w:ilvl="5">
      <w:start w:val="1"/>
      <w:numFmt w:val="bullet"/>
      <w:lvlText w:val=""/>
      <w:lvlJc w:val="left"/>
      <w:pPr>
        <w:ind w:left="0" w:firstLine="0"/>
      </w:pPr>
      <w:rPr>
        <w:rFonts w:ascii="Wingdings" w:hAnsi="Wingdings" w:hint="default"/>
      </w:rPr>
    </w:lvl>
    <w:lvl w:ilvl="6">
      <w:start w:val="1"/>
      <w:numFmt w:val="bullet"/>
      <w:lvlText w:val=""/>
      <w:lvlJc w:val="left"/>
      <w:pPr>
        <w:ind w:left="0" w:firstLine="0"/>
      </w:pPr>
      <w:rPr>
        <w:rFonts w:ascii="Wingdings" w:hAnsi="Wingdings" w:hint="default"/>
      </w:rPr>
    </w:lvl>
    <w:lvl w:ilvl="7">
      <w:start w:val="1"/>
      <w:numFmt w:val="bullet"/>
      <w:lvlText w:val=""/>
      <w:lvlJc w:val="left"/>
      <w:pPr>
        <w:ind w:left="0" w:firstLine="0"/>
      </w:pPr>
      <w:rPr>
        <w:rFonts w:ascii="Wingdings" w:hAnsi="Wingdings" w:hint="default"/>
      </w:rPr>
    </w:lvl>
    <w:lvl w:ilvl="8">
      <w:start w:val="1"/>
      <w:numFmt w:val="bullet"/>
      <w:lvlText w:val=""/>
      <w:lvlJc w:val="left"/>
      <w:pPr>
        <w:ind w:left="0" w:firstLine="0"/>
      </w:pPr>
      <w:rPr>
        <w:rFonts w:ascii="Wingdings" w:hAnsi="Wingdings" w:hint="default"/>
      </w:rPr>
    </w:lvl>
  </w:abstractNum>
  <w:abstractNum w:abstractNumId="7" w15:restartNumberingAfterBreak="0">
    <w:nsid w:val="7F744D72"/>
    <w:multiLevelType w:val="multilevel"/>
    <w:tmpl w:val="AC781C68"/>
    <w:lvl w:ilvl="0">
      <w:start w:val="1"/>
      <w:numFmt w:val="decimal"/>
      <w:lvlText w:val="%1."/>
      <w:lvlJc w:val="left"/>
      <w:pPr>
        <w:ind w:left="400" w:hanging="38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4"/>
  </w:num>
  <w:num w:numId="2">
    <w:abstractNumId w:val="6"/>
  </w:num>
  <w:num w:numId="3">
    <w:abstractNumId w:val="0"/>
  </w:num>
  <w:num w:numId="4">
    <w:abstractNumId w:val="3"/>
  </w:num>
  <w:num w:numId="5">
    <w:abstractNumId w:val="1"/>
  </w:num>
  <w:num w:numId="6">
    <w:abstractNumId w:val="5"/>
  </w:num>
  <w:num w:numId="7">
    <w:abstractNumId w:val="7"/>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0B8"/>
    <w:rsid w:val="007862E6"/>
    <w:rsid w:val="00906D7D"/>
    <w:rsid w:val="00C15354"/>
    <w:rsid w:val="00C80536"/>
    <w:rsid w:val="00EE70B8"/>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A613E"/>
  <w15:docId w15:val="{8166C845-3E7B-48D5-9674-5F0692C28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Gothic" w:eastAsia="Century Gothic" w:hAnsi="Century Gothic" w:cs="Century Gothic"/>
        <w:sz w:val="21"/>
        <w:szCs w:val="21"/>
        <w:lang w:val="es-BO" w:eastAsia="es-BO" w:bidi="ar-SA"/>
      </w:rPr>
    </w:rPrDefault>
    <w:pPrDefault>
      <w:pPr>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Century Gothic" w:hAnsi="Century Gothic"/>
      <w:sz w:val="20"/>
    </w:rPr>
  </w:style>
  <w:style w:type="paragraph" w:styleId="Ttulo1">
    <w:name w:val="heading 1"/>
    <w:basedOn w:val="Normal"/>
    <w:next w:val="Normal"/>
    <w:uiPriority w:val="9"/>
    <w:qFormat/>
    <w:pPr>
      <w:keepNext/>
      <w:keepLines/>
      <w:spacing w:before="480" w:after="120"/>
      <w:outlineLvl w:val="0"/>
    </w:pPr>
    <w:rPr>
      <w:rFonts w:ascii="Century Gothic" w:hAnsi="Century Gothic" w:cs="Century Gothic" w:eastAsia="Century Gothic"/>
      <w:b/>
      <w:bCs/>
      <w:sz w:val="48"/>
      <w:szCs w:val="48"/>
    </w:rPr>
  </w:style>
  <w:style w:type="paragraph" w:styleId="Ttulo2">
    <w:name w:val="heading 2"/>
    <w:basedOn w:val="Normal"/>
    <w:next w:val="Normal"/>
    <w:uiPriority w:val="9"/>
    <w:semiHidden/>
    <w:unhideWhenUsed/>
    <w:qFormat/>
    <w:pPr>
      <w:keepNext/>
      <w:keepLines/>
      <w:spacing w:before="360" w:after="80"/>
      <w:outlineLvl w:val="1"/>
    </w:pPr>
    <w:rPr>
      <w:rFonts w:ascii="Century Gothic" w:hAnsi="Century Gothic" w:cs="Century Gothic" w:eastAsia="Century Gothic"/>
      <w:b/>
      <w:bCs/>
      <w:sz w:val="36"/>
      <w:szCs w:val="36"/>
    </w:rPr>
  </w:style>
  <w:style w:type="paragraph" w:styleId="Ttulo3">
    <w:name w:val="heading 3"/>
    <w:basedOn w:val="Normal"/>
    <w:next w:val="Normal"/>
    <w:uiPriority w:val="9"/>
    <w:semiHidden/>
    <w:unhideWhenUsed/>
    <w:qFormat/>
    <w:pPr>
      <w:keepNext/>
      <w:keepLines/>
      <w:spacing w:before="280" w:after="80"/>
      <w:outlineLvl w:val="2"/>
    </w:pPr>
    <w:rPr>
      <w:rFonts w:ascii="Century Gothic" w:hAnsi="Century Gothic" w:cs="Century Gothic" w:eastAsia="Century Gothic"/>
      <w:b/>
      <w:bCs/>
      <w:sz w:val="28"/>
      <w:szCs w:val="28"/>
    </w:rPr>
  </w:style>
  <w:style w:type="paragraph" w:styleId="Ttulo4">
    <w:name w:val="heading 4"/>
    <w:basedOn w:val="Normal"/>
    <w:next w:val="Normal"/>
    <w:uiPriority w:val="9"/>
    <w:semiHidden/>
    <w:unhideWhenUsed/>
    <w:qFormat/>
    <w:pPr>
      <w:keepNext/>
      <w:keepLines/>
      <w:spacing w:before="240" w:after="40"/>
      <w:outlineLvl w:val="3"/>
    </w:pPr>
    <w:rPr>
      <w:rFonts w:ascii="Century Gothic" w:hAnsi="Century Gothic" w:cs="Century Gothic" w:eastAsia="Century Gothic"/>
      <w:b/>
      <w:bCs/>
      <w:sz w:val="24"/>
      <w:szCs w:val="24"/>
    </w:rPr>
  </w:style>
  <w:style w:type="paragraph" w:styleId="Ttulo5">
    <w:name w:val="heading 5"/>
    <w:basedOn w:val="Normal"/>
    <w:next w:val="Normal"/>
    <w:uiPriority w:val="9"/>
    <w:semiHidden/>
    <w:unhideWhenUsed/>
    <w:qFormat/>
    <w:pPr>
      <w:keepNext/>
      <w:keepLines/>
      <w:spacing w:before="220" w:after="40"/>
      <w:outlineLvl w:val="4"/>
    </w:pPr>
    <w:rPr>
      <w:rFonts w:ascii="Century Gothic" w:hAnsi="Century Gothic" w:cs="Century Gothic" w:eastAsia="Century Gothic"/>
      <w:b/>
      <w:bCs/>
      <w:sz w:val="22"/>
      <w:szCs w:val="22"/>
    </w:rPr>
  </w:style>
  <w:style w:type="paragraph" w:styleId="Ttulo6">
    <w:name w:val="heading 6"/>
    <w:basedOn w:val="Normal"/>
    <w:next w:val="Normal"/>
    <w:uiPriority w:val="9"/>
    <w:semiHidden/>
    <w:unhideWhenUsed/>
    <w:qFormat/>
    <w:pPr>
      <w:keepNext/>
      <w:keepLines/>
      <w:spacing w:before="200" w:after="40"/>
      <w:outlineLvl w:val="5"/>
    </w:pPr>
    <w:rPr>
      <w:rFonts w:ascii="Century Gothic" w:hAnsi="Century Gothic" w:cs="Century Gothic" w:eastAsia="Century Gothic"/>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jc w:val="left"/>
    </w:pPr>
    <w:rPr>
      <w:rFonts w:ascii="Century Gothic" w:hAnsi="Century Gothic" w:cs="Century Gothic" w:eastAsia="Century Gothic"/>
      <w:sz w:val="56"/>
      <w:szCs w:val="56"/>
    </w:rPr>
  </w:style>
  <w:style w:type="paragraph" w:styleId="Subttulo">
    <w:name w:val="Subtitle"/>
    <w:basedOn w:val="Normal"/>
    <w:next w:val="Normal"/>
    <w:uiPriority w:val="11"/>
    <w:qFormat/>
    <w:pPr>
      <w:keepNext/>
      <w:keepLines/>
      <w:spacing w:before="360" w:after="80"/>
    </w:pPr>
    <w:rPr>
      <w:rFonts w:ascii="Century Gothic" w:eastAsia="Century Gothic" w:hAnsi="Century Gothic" w:cs="Century Gothic"/>
      <w:i/>
      <w:iCs/>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6999</Words>
  <Characters>38500</Characters>
  <Application>Microsoft Office Word</Application>
  <DocSecurity>0</DocSecurity>
  <Lines>320</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mariachipana385@gmail.com</cp:lastModifiedBy>
  <cp:revision>3</cp:revision>
  <dcterms:created xsi:type="dcterms:W3CDTF">2026-10-09T19:51:00Z</dcterms:created>
  <dcterms:modified xsi:type="dcterms:W3CDTF">2026-10-09T20:36:00Z</dcterms:modified>
</cp:coreProperties>
</file>