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Evaluación Curricular</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12.</w:t>
        <w:tab/>
      </w:r>
      <w:r>
        <w:rPr>
          <w:rFonts w:ascii="Century Gothic" w:hAnsi="Century Gothic" w:cs="Century Gothic" w:eastAsia="Century Gothic"/>
          <w:b/>
          <w:i w:val="0"/>
          <w:sz w:val="24"/>
        </w:rPr>
        <w:t>Evaluación curricular</w:t>
      </w:r>
    </w:p>
    <w:p>
      <w:pPr>
        <w:spacing w:before="0" w:after="200" w:line="240" w:lineRule="auto"/>
        <w:jc w:val="both"/>
      </w:pPr>
      <w:r>
        <w:rPr>
          <w:rFonts w:ascii="Century Gothic" w:hAnsi="Century Gothic" w:cs="Century Gothic" w:eastAsia="Century Gothic"/>
          <w:b w:val="0"/>
          <w:i w:val="0"/>
          <w:sz w:val="20"/>
        </w:rPr>
        <w:t>Un plan de estudios se evalúa desde dos perspectivas. Desde dentro, se verifica si el plan funciona como se diseñó en coherencia, contenidos, carga horaria, docentes y resultados de aprendizaje. Desde fuera, se observa qué ocurre con quienes ya se titularon: si trabajan, en qué áreas, cuánto ganan y qué valoran o critican de su formación. Este punto desarrolla ambas perspectivas mediante los lineamientos para la evaluación curricular y las estrategias de seguimiento a titulados, y propone que la Carrera conserve la metodología de su estudio de seguimiento más reciente como base de los trabajos futuros.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12.1</w:t>
        <w:tab/>
      </w:r>
      <w:r>
        <w:rPr>
          <w:rFonts w:ascii="Century Gothic" w:hAnsi="Century Gothic" w:cs="Century Gothic" w:eastAsia="Century Gothic"/>
          <w:b/>
          <w:i w:val="0"/>
          <w:sz w:val="24"/>
        </w:rPr>
        <w:t>Lineamientos para la evaluación curricular</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12.1.1</w:t>
        <w:tab/>
      </w:r>
      <w:r>
        <w:rPr>
          <w:rFonts w:ascii="Century Gothic" w:hAnsi="Century Gothic" w:cs="Century Gothic" w:eastAsia="Century Gothic"/>
          <w:b/>
          <w:i w:val="0"/>
          <w:sz w:val="22"/>
        </w:rPr>
        <w:t>Marco normativo y de referencia</w:t>
      </w:r>
    </w:p>
    <w:p>
      <w:pPr>
        <w:numPr>
          <w:ilvl w:val="0"/>
          <w:numId w:val="901"/>
        </w:numPr>
        <w:spacing w:before="0" w:after="160" w:line="240" w:lineRule="auto"/>
        <w:jc w:val="both"/>
      </w:pPr>
      <w:r>
        <w:rPr>
          <w:rFonts w:ascii="Century Gothic" w:hAnsi="Century Gothic" w:cs="Century Gothic" w:eastAsia="Century Gothic"/>
          <w:b/>
          <w:i w:val="0"/>
          <w:sz w:val="20"/>
        </w:rPr>
        <w:t>Reglamento de Innovación Curricular de la UMSA, Resolución HCU N.º 032/2025.</w:t>
      </w:r>
      <w:r>
        <w:rPr>
          <w:rFonts w:ascii="Century Gothic" w:hAnsi="Century Gothic" w:cs="Century Gothic" w:eastAsia="Century Gothic"/>
          <w:b w:val="0"/>
          <w:i w:val="0"/>
          <w:sz w:val="20"/>
        </w:rPr>
        <w:t xml:space="preserve"> Su Artículo 5 establece que el rediseño curricular se efectúa obligatoriamente cada siete años, por declaración de necesidad; el Artículo 6, que los ajustes curriculares se realizan cada dos años o antes por declaración de necesidad; y el Artículo 7, que la complementación curricular de los planes de asignatura se realiza al inicio de cada año. El Artículo 11 fija los criterios generales de calidad del plan de estudios: coherencia, pertinencia, consideración del contexto sociocultural, consideración del alcance económico, relación con el mundo laboral, integralidad y transversalidad, transferibilidad y articulación.</w:t>
      </w:r>
    </w:p>
    <w:p>
      <w:pPr>
        <w:numPr>
          <w:ilvl w:val="0"/>
          <w:numId w:val="901"/>
        </w:numPr>
        <w:spacing w:before="0" w:after="160" w:line="240" w:lineRule="auto"/>
        <w:jc w:val="both"/>
      </w:pPr>
      <w:r>
        <w:rPr>
          <w:rFonts w:ascii="Century Gothic" w:hAnsi="Century Gothic" w:cs="Century Gothic" w:eastAsia="Century Gothic"/>
          <w:b/>
          <w:i w:val="0"/>
          <w:sz w:val="20"/>
        </w:rPr>
        <w:t>Reglamento de Evaluación y Acreditación Institucional y de Carreras y Programas de la UMSA, 2025.</w:t>
      </w:r>
      <w:r>
        <w:rPr>
          <w:rFonts w:ascii="Century Gothic" w:hAnsi="Century Gothic" w:cs="Century Gothic" w:eastAsia="Century Gothic"/>
          <w:b w:val="0"/>
          <w:i w:val="0"/>
          <w:sz w:val="20"/>
        </w:rPr>
        <w:t xml:space="preserve"> Hace obligatoria la autoevaluación cada cuatro años, con informe y Plan de Mejora de la Calidad; prevé la evaluación externa voluntaria por pares, la acreditación por seis años y el seguimiento anual. Incluye entre sus propósitos la empleabilidad de los graduados e incorpora a los titulados en el comité de autoevaluación, pero no contiene un artículo propio sobre evaluación curricular ni sobre seguimiento a titulados, vacío que este punto propone cubrir.</w:t>
      </w:r>
    </w:p>
    <w:p>
      <w:pPr>
        <w:numPr>
          <w:ilvl w:val="0"/>
          <w:numId w:val="901"/>
        </w:numPr>
        <w:spacing w:before="0" w:after="160" w:line="240" w:lineRule="auto"/>
        <w:jc w:val="both"/>
      </w:pPr>
      <w:r>
        <w:rPr>
          <w:rFonts w:ascii="Century Gothic" w:hAnsi="Century Gothic" w:cs="Century Gothic" w:eastAsia="Century Gothic"/>
          <w:b/>
          <w:i w:val="0"/>
          <w:sz w:val="20"/>
        </w:rPr>
        <w:t>Sistema ARCU-SUR.</w:t>
      </w:r>
      <w:r>
        <w:rPr>
          <w:rFonts w:ascii="Century Gothic" w:hAnsi="Century Gothic" w:cs="Century Gothic" w:eastAsia="Century Gothic"/>
          <w:b w:val="0"/>
          <w:i w:val="0"/>
          <w:sz w:val="20"/>
        </w:rPr>
        <w:t xml:space="preserve"> El Acuerdo del MERCOSUR de 2008, ratificado por Bolivia mediante la Ley N.º 842 de 2016, acredita carreras de grado por seis años mediante autoevaluación, evaluación externa de pares y resolución de la agencia nacional, y examina los procesos y los resultados de la carrera.</w:t>
      </w:r>
    </w:p>
    <w:p>
      <w:pPr>
        <w:numPr>
          <w:ilvl w:val="0"/>
          <w:numId w:val="901"/>
        </w:numPr>
        <w:spacing w:before="0" w:after="160" w:line="240" w:lineRule="auto"/>
        <w:jc w:val="both"/>
      </w:pPr>
      <w:r>
        <w:rPr>
          <w:rFonts w:ascii="Century Gothic" w:hAnsi="Century Gothic" w:cs="Century Gothic" w:eastAsia="Century Gothic"/>
          <w:b/>
          <w:i w:val="0"/>
          <w:sz w:val="20"/>
        </w:rPr>
        <w:t>Normas Internacionales de Formación de la IFAC.</w:t>
      </w:r>
      <w:r>
        <w:rPr>
          <w:rFonts w:ascii="Century Gothic" w:hAnsi="Century Gothic" w:cs="Century Gothic" w:eastAsia="Century Gothic"/>
          <w:b w:val="0"/>
          <w:i w:val="0"/>
          <w:sz w:val="20"/>
        </w:rPr>
        <w:t xml:space="preserve"> Las IES piden revisar y actualizar periódicamente los programas de formación profesional inicial, evaluar la competencia técnica y reconocer la experiencia práctica como parte de la formación, conforme a la IES 5.</w:t>
      </w:r>
    </w:p>
    <w:p>
      <w:pPr>
        <w:numPr>
          <w:ilvl w:val="0"/>
          <w:numId w:val="901"/>
        </w:numPr>
        <w:spacing w:before="0" w:after="200" w:line="240" w:lineRule="auto"/>
        <w:jc w:val="both"/>
      </w:pPr>
      <w:r>
        <w:rPr>
          <w:rFonts w:ascii="Century Gothic" w:hAnsi="Century Gothic" w:cs="Century Gothic" w:eastAsia="Century Gothic"/>
          <w:b/>
          <w:i w:val="0"/>
          <w:sz w:val="20"/>
        </w:rPr>
        <w:t>Modelo CIPP.</w:t>
      </w:r>
      <w:r>
        <w:rPr>
          <w:rFonts w:ascii="Century Gothic" w:hAnsi="Century Gothic" w:cs="Century Gothic" w:eastAsia="Century Gothic"/>
          <w:b w:val="0"/>
          <w:i w:val="0"/>
          <w:sz w:val="20"/>
        </w:rPr>
        <w:t xml:space="preserve"> Propuesto por Stufflebeam y Zhang en 2017, organiza la evaluación en contexto, insumos, proceso y producto, con retroalimentación durante todo el desarrollo del programa y orientación a la mejora y a la rendición de cuentas. Es el esquema que ordena las preguntas evaluativas de este punto.</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12.1.2</w:t>
        <w:tab/>
      </w:r>
      <w:r>
        <w:rPr>
          <w:rFonts w:ascii="Century Gothic" w:hAnsi="Century Gothic" w:cs="Century Gothic" w:eastAsia="Century Gothic"/>
          <w:b/>
          <w:i w:val="0"/>
          <w:sz w:val="22"/>
        </w:rPr>
        <w:t>Principios</w:t>
      </w:r>
    </w:p>
    <w:p>
      <w:pPr>
        <w:numPr>
          <w:ilvl w:val="0"/>
          <w:numId w:val="902"/>
        </w:numPr>
        <w:spacing w:before="0" w:after="160" w:line="240" w:lineRule="auto"/>
        <w:jc w:val="both"/>
      </w:pPr>
      <w:r>
        <w:rPr>
          <w:rFonts w:ascii="Century Gothic" w:hAnsi="Century Gothic" w:cs="Century Gothic" w:eastAsia="Century Gothic"/>
          <w:b/>
          <w:i w:val="0"/>
          <w:sz w:val="20"/>
        </w:rPr>
        <w:t>Continua y formativa.</w:t>
      </w:r>
      <w:r>
        <w:rPr>
          <w:rFonts w:ascii="Century Gothic" w:hAnsi="Century Gothic" w:cs="Century Gothic" w:eastAsia="Century Gothic"/>
          <w:b w:val="0"/>
          <w:i w:val="0"/>
          <w:sz w:val="20"/>
        </w:rPr>
        <w:t xml:space="preserve"> Se evalúa durante la aplicación del plan y no solo al final, para corregir a tiempo.</w:t>
      </w:r>
    </w:p>
    <w:p>
      <w:pPr>
        <w:numPr>
          <w:ilvl w:val="0"/>
          <w:numId w:val="902"/>
        </w:numPr>
        <w:spacing w:before="0" w:after="160" w:line="240" w:lineRule="auto"/>
        <w:jc w:val="both"/>
      </w:pPr>
      <w:r>
        <w:rPr>
          <w:rFonts w:ascii="Century Gothic" w:hAnsi="Century Gothic" w:cs="Century Gothic" w:eastAsia="Century Gothic"/>
          <w:b/>
          <w:i w:val="0"/>
          <w:sz w:val="20"/>
        </w:rPr>
        <w:t>Basada en evidencia.</w:t>
      </w:r>
      <w:r>
        <w:rPr>
          <w:rFonts w:ascii="Century Gothic" w:hAnsi="Century Gothic" w:cs="Century Gothic" w:eastAsia="Century Gothic"/>
          <w:b w:val="0"/>
          <w:i w:val="0"/>
          <w:sz w:val="20"/>
        </w:rPr>
        <w:t xml:space="preserve"> Cada juicio se apoya en indicadores y fuentes identificadas, como los registros de la División de Sistemas de Información y Estadística de la UMSA, las encuestas y los estudios de mercado.</w:t>
      </w:r>
    </w:p>
    <w:p>
      <w:pPr>
        <w:numPr>
          <w:ilvl w:val="0"/>
          <w:numId w:val="902"/>
        </w:numPr>
        <w:spacing w:before="0" w:after="160" w:line="240" w:lineRule="auto"/>
        <w:jc w:val="both"/>
      </w:pPr>
      <w:r>
        <w:rPr>
          <w:rFonts w:ascii="Century Gothic" w:hAnsi="Century Gothic" w:cs="Century Gothic" w:eastAsia="Century Gothic"/>
          <w:b/>
          <w:i w:val="0"/>
          <w:sz w:val="20"/>
        </w:rPr>
        <w:t>Participativa.</w:t>
      </w:r>
      <w:r>
        <w:rPr>
          <w:rFonts w:ascii="Century Gothic" w:hAnsi="Century Gothic" w:cs="Century Gothic" w:eastAsia="Century Gothic"/>
          <w:b w:val="0"/>
          <w:i w:val="0"/>
          <w:sz w:val="20"/>
        </w:rPr>
        <w:t xml:space="preserve"> Intervienen docentes, estudiantes, titulados y empleadores. El análisis FODA de 2025 mostró que docentes y estudiantes coinciden en la brecha tecnológica, el estudio de titulados mostró otras prioridades y los empleadores aún no han sido consultados de forma sistemática.</w:t>
      </w:r>
    </w:p>
    <w:p>
      <w:pPr>
        <w:numPr>
          <w:ilvl w:val="0"/>
          <w:numId w:val="902"/>
        </w:numPr>
        <w:spacing w:before="0" w:after="160" w:line="240" w:lineRule="auto"/>
        <w:jc w:val="both"/>
      </w:pPr>
      <w:r>
        <w:rPr>
          <w:rFonts w:ascii="Century Gothic" w:hAnsi="Century Gothic" w:cs="Century Gothic" w:eastAsia="Century Gothic"/>
          <w:b/>
          <w:i w:val="0"/>
          <w:sz w:val="20"/>
        </w:rPr>
        <w:t>Contextualizada.</w:t>
      </w:r>
      <w:r>
        <w:rPr>
          <w:rFonts w:ascii="Century Gothic" w:hAnsi="Century Gothic" w:cs="Century Gothic" w:eastAsia="Century Gothic"/>
          <w:b w:val="0"/>
          <w:i w:val="0"/>
          <w:sz w:val="20"/>
        </w:rPr>
        <w:t xml:space="preserve"> Considera que el 48,9 % de los estudiantes trabaja y que el contexto económico modifica las exigencias del ejercicio profesional.</w:t>
      </w:r>
    </w:p>
    <w:p>
      <w:pPr>
        <w:numPr>
          <w:ilvl w:val="0"/>
          <w:numId w:val="902"/>
        </w:numPr>
        <w:spacing w:before="0" w:after="200" w:line="240" w:lineRule="auto"/>
        <w:jc w:val="both"/>
      </w:pPr>
      <w:r>
        <w:rPr>
          <w:rFonts w:ascii="Century Gothic" w:hAnsi="Century Gothic" w:cs="Century Gothic" w:eastAsia="Century Gothic"/>
          <w:b/>
          <w:i w:val="0"/>
          <w:sz w:val="20"/>
        </w:rPr>
        <w:t>Orientada a decisiones.</w:t>
      </w:r>
      <w:r>
        <w:rPr>
          <w:rFonts w:ascii="Century Gothic" w:hAnsi="Century Gothic" w:cs="Century Gothic" w:eastAsia="Century Gothic"/>
          <w:b w:val="0"/>
          <w:i w:val="0"/>
          <w:sz w:val="20"/>
        </w:rPr>
        <w:t xml:space="preserve"> Cada informe concluye en un plan de mejora con responsables y plazos.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12.1.3</w:t>
        <w:tab/>
      </w:r>
      <w:r>
        <w:rPr>
          <w:rFonts w:ascii="Century Gothic" w:hAnsi="Century Gothic" w:cs="Century Gothic" w:eastAsia="Century Gothic"/>
          <w:b/>
          <w:i w:val="0"/>
          <w:sz w:val="22"/>
        </w:rPr>
        <w:t>Componentes de la evaluación según el modelo CIPP</w:t>
      </w:r>
    </w:p>
    <w:p>
      <w:pPr>
        <w:spacing w:before="0" w:after="200" w:line="240" w:lineRule="auto"/>
        <w:jc w:val="both"/>
      </w:pPr>
      <w:r>
        <w:rPr>
          <w:rFonts w:ascii="Century Gothic" w:hAnsi="Century Gothic" w:cs="Century Gothic" w:eastAsia="Century Gothic"/>
          <w:b w:val="0"/>
          <w:i w:val="0"/>
          <w:sz w:val="20"/>
        </w:rPr>
        <w:t>El modelo CIPP sostiene que la evaluación acompaña todo el ciclo de vida de un programa para orientar la toma de decisiones, y no se limita a los resultados finales. Sus cuatro componentes son la evaluación del contexto, que identifica necesidades, problemas y oportunidades para definir metas pertinentes; la evaluación de los insumos, que valora los recursos financieros, humanos y tecnológicos y la viabilidad de la estrategia elegida; la evaluación del proceso, que documenta la ejecución real frente a lo planificado para corregir desviaciones; y la evaluación del producto, que juzga los logros previstos e imprevistos para decidir si el programa se mantiene, se modifica o se reemplaza.</w:t>
      </w:r>
    </w:p>
    <w:p>
      <w:pPr>
        <w:keepNext/>
        <w:spacing w:before="40" w:after="80" w:line="240" w:lineRule="auto"/>
        <w:jc w:val="center"/>
      </w:pPr>
      <w:r>
        <w:rPr>
          <w:rFonts w:ascii="Century Gothic" w:hAnsi="Century Gothic" w:cs="Century Gothic" w:eastAsia="Century Gothic"/>
          <w:b/>
          <w:i w:val="0"/>
          <w:sz w:val="20"/>
        </w:rPr>
        <w:t>Cuadro 1. Componentes de la evaluación y fuentes de información</w:t>
      </w:r>
    </w:p>
    <w:tbl>
      <w:tblPr>
        <w:tblW w:type="auto" w:w="0"/>
        <w:jc w:val="center"/>
        <w:tblLayout w:type="fixed"/>
        <w:tblLook w:firstColumn="1" w:firstRow="1" w:lastColumn="0" w:lastRow="0" w:noHBand="0" w:noVBand="1" w:val="04A0"/>
      </w:tblPr>
      <w:tblGrid>
        <w:gridCol w:w="1474"/>
        <w:gridCol w:w="4309"/>
        <w:gridCol w:w="3288"/>
      </w:tblGrid>
      <w:tr>
        <w:trPr>
          <w:tblHeader/>
        </w:trPr>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Componente</w:t>
            </w:r>
          </w:p>
        </w:tc>
        <w:tc>
          <w:tcPr>
            <w:tcW w:type="dxa" w:w="430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Qué se evalúa en la Carrera</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Fuentes</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Contexto</w:t>
            </w:r>
          </w:p>
        </w:tc>
        <w:tc>
          <w:tcPr>
            <w:tcW w:type="dxa" w:w="4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¿Responde el perfil de egreso a las necesidades del mercado, la profesión y el país? Criterios de pertinencia, contexto sociocultural, alcance económico y relación con el mundo laboral</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Estudios de mercado laboral, seguimiento a titulados, normas de la IFAC y del Sistema de la Universidad Boliviana, datos económicos</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Insumos</w:t>
            </w:r>
          </w:p>
        </w:tc>
        <w:tc>
          <w:tcPr>
            <w:tcW w:type="dxa" w:w="4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¿Alcanzan los contenidos, la carga horaria, los docentes, la infraestructura y los recursos tecnológicos para lograr el perfil? Criterios de coherencia e integralidad</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Plan de estudios y planes de asignatura, análisis FODA, registros docentes, inventario de laboratorios y licencias</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Proceso</w:t>
            </w:r>
          </w:p>
        </w:tc>
        <w:tc>
          <w:tcPr>
            <w:tcW w:type="dxa" w:w="4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¿Cómo se aplica el plan? Metodologías, prácticas preprofesionales, proyectos integradores, evaluación de aprendizajes y flexibilidad para el estudiante que trabaja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Encuestas a estudiantes y docentes, observación de aula, registros de prácticas y convenios</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Producto</w:t>
            </w:r>
          </w:p>
        </w:tc>
        <w:tc>
          <w:tcPr>
            <w:tcW w:type="dxa" w:w="4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¿Qué resultados obtiene la Carrera? Permanencia, titulación, inserción laboral, ingresos, satisfacción y continuidad en el postgrado. Criterios de transferibilidad y articulación</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Registros estadísticos de la UMSA, seguimiento a titulados, encuestas a empleadores, acreditaciones</w:t>
            </w:r>
          </w:p>
        </w:tc>
      </w:tr>
    </w:tbl>
    <w:p>
      <w:pPr>
        <w:spacing w:before="40" w:after="200" w:line="240" w:lineRule="auto"/>
        <w:jc w:val="left"/>
      </w:pPr>
      <w:r>
        <w:rPr>
          <w:rFonts w:ascii="Century Gothic" w:hAnsi="Century Gothic" w:cs="Century Gothic" w:eastAsia="Century Gothic"/>
          <w:b w:val="0"/>
          <w:i w:val="0"/>
          <w:sz w:val="16"/>
        </w:rPr>
        <w:t>Fuente: elaboración con base en Stufflebeam y Zhang (2017) y en el Artículo 11 de la Resolución HCU N.º 032/2025.</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12.1.4</w:t>
        <w:tab/>
      </w:r>
      <w:r>
        <w:rPr>
          <w:rFonts w:ascii="Century Gothic" w:hAnsi="Century Gothic" w:cs="Century Gothic" w:eastAsia="Century Gothic"/>
          <w:b/>
          <w:i w:val="0"/>
          <w:sz w:val="22"/>
        </w:rPr>
        <w:t>Criterios, indicadores y línea base</w:t>
      </w:r>
    </w:p>
    <w:p>
      <w:pPr>
        <w:spacing w:before="0" w:after="200" w:line="240" w:lineRule="auto"/>
        <w:jc w:val="both"/>
      </w:pPr>
      <w:r>
        <w:rPr>
          <w:rFonts w:ascii="Century Gothic" w:hAnsi="Century Gothic" w:cs="Century Gothic" w:eastAsia="Century Gothic"/>
          <w:b w:val="0"/>
          <w:i w:val="0"/>
          <w:sz w:val="20"/>
        </w:rPr>
        <w:t>Los criterios del Artículo 11 del Reglamento de Innovación Curricular estructuran la matriz de evaluación. El Cuadro 2 propone indicadores para cada criterio y recoge la línea base disponible, de modo que el primer informe pueda medir el avance desde una referencia concreta.</w:t>
      </w:r>
    </w:p>
    <w:p>
      <w:pPr>
        <w:keepNext/>
        <w:spacing w:before="40" w:after="80" w:line="240" w:lineRule="auto"/>
        <w:jc w:val="center"/>
      </w:pPr>
      <w:r>
        <w:rPr>
          <w:rFonts w:ascii="Century Gothic" w:hAnsi="Century Gothic" w:cs="Century Gothic" w:eastAsia="Century Gothic"/>
          <w:b/>
          <w:i w:val="0"/>
          <w:sz w:val="20"/>
        </w:rPr>
        <w:t>Cuadro 2. Matriz de evaluación curricular</w:t>
      </w:r>
    </w:p>
    <w:tbl>
      <w:tblPr>
        <w:tblW w:type="auto" w:w="0"/>
        <w:jc w:val="center"/>
        <w:tblLayout w:type="fixed"/>
        <w:tblLook w:firstColumn="1" w:firstRow="1" w:lastColumn="0" w:lastRow="0" w:noHBand="0" w:noVBand="1" w:val="04A0"/>
      </w:tblPr>
      <w:tblGrid>
        <w:gridCol w:w="1701"/>
        <w:gridCol w:w="3628"/>
        <w:gridCol w:w="3742"/>
      </w:tblGrid>
      <w:tr>
        <w:trPr>
          <w:tblHeader/>
        </w:trPr>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Criterio</w:t>
            </w:r>
          </w:p>
        </w:tc>
        <w:tc>
          <w:tcPr>
            <w:tcW w:type="dxa" w:w="36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Indicadores propuestos</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Línea base disponible</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Coherencia</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Porcentaje de asignaturas con resultados de aprendizaje y competencias asociadas; coherencia vertical y horizontal de la malla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El Plan 2013 no está organizado por competencias; valoración parcial en el Diagnóstico 2026</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Pertinencia</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Porcentaje de titulados que se sienten preparados; brecha entre competencias requeridas y aplicadas; valoración de las tecnologías enseñadas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42 % de los titulados de Contaduría se siente preparado para desempeñarse en su campo; Ipsos CIESMORI 2025, 160 casos</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Contexto sociocultural</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Porcentaje de estudiantes que trabajan; tasa de inscripción efectiva; permanencia y abandono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48,9 % de los estudiantes trabaja; 26,6 % de los matriculados no se inscribe en asignaturas, 2025</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Alcance económico</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Ingreso mensual de los titulados por cohorte; relación con la mediana de los profesionales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87 % gana hasta Bs 5.000, Ipsos 2025; en la cohorte 2014 a 2019, 24,3 % ganaba Bs 6.000 o más. Las muestras no son comparables sin ajuste</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Relación con el mundo laboral</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Porcentaje empleado; porcentaje que ejerce la carrera; tiempo hasta el primer empleo; áreas de inserción; tipo de contrato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79,3 % trabajaba en la cohorte 2014 a 2019; 63 % ejerce la carrera, Ipsos 2025</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Integralidad y transversalidad</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Cobertura de contabilidad, auditoría, finanzas, tecnología, sostenibilidad y riesgos en el plan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El Plan 2013 omite sostenibilidad, inteligencia artificial aplicada y gestión de riesgos</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Transferibilidad</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Alineación con las IES de la IFAC; acreditaciones obtenidas; movilidad académica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Sin acreditación regional ni internacional</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Articulación</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Porcentaje de titulados que continúan en postgrado o educación continua; pasarelas entre grado y postgrado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Cohorte 2014 a 2019: cerca del 8 % cursó maestría y 40,5 % un diplomado</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Complementario: eficiencia de la trayectoria</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Tiempo entre ingreso, egreso y titulación; titulados por año y modalidad</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El 50 % se titula al séptimo año; 274 titulados en 2025, 69 % por examen de grado</w:t>
            </w:r>
          </w:p>
        </w:tc>
      </w:tr>
    </w:tbl>
    <w:p>
      <w:pPr>
        <w:spacing w:before="40" w:after="200" w:line="240" w:lineRule="auto"/>
        <w:jc w:val="left"/>
      </w:pPr>
      <w:r>
        <w:rPr>
          <w:rFonts w:ascii="Century Gothic" w:hAnsi="Century Gothic" w:cs="Century Gothic" w:eastAsia="Century Gothic"/>
          <w:b w:val="0"/>
          <w:i w:val="0"/>
          <w:sz w:val="16"/>
        </w:rPr>
        <w:t>Fuente: Aguirre y Quintanilla (2022), Ipsos CIESMORI (2025) y Diagnóstico 2026. Las cifras de 2019 y 2025 provienen de poblaciones, preguntas y años distintos.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12.1.5</w:t>
        <w:tab/>
      </w:r>
      <w:r>
        <w:rPr>
          <w:rFonts w:ascii="Century Gothic" w:hAnsi="Century Gothic" w:cs="Century Gothic" w:eastAsia="Century Gothic"/>
          <w:b/>
          <w:i w:val="0"/>
          <w:sz w:val="22"/>
        </w:rPr>
        <w:t>Calendario de evaluación</w:t>
      </w:r>
    </w:p>
    <w:p>
      <w:pPr>
        <w:keepNext/>
        <w:spacing w:before="40" w:after="80" w:line="240" w:lineRule="auto"/>
        <w:jc w:val="center"/>
      </w:pPr>
      <w:r>
        <w:rPr>
          <w:rFonts w:ascii="Century Gothic" w:hAnsi="Century Gothic" w:cs="Century Gothic" w:eastAsia="Century Gothic"/>
          <w:b/>
          <w:i w:val="0"/>
          <w:sz w:val="20"/>
        </w:rPr>
        <w:t>Cuadro 3. Momentos de la evaluación curricular</w:t>
      </w:r>
    </w:p>
    <w:tbl>
      <w:tblPr>
        <w:tblW w:type="auto" w:w="0"/>
        <w:jc w:val="center"/>
        <w:tblLayout w:type="fixed"/>
        <w:tblLook w:firstColumn="1" w:firstRow="1" w:lastColumn="0" w:lastRow="0" w:noHBand="0" w:noVBand="1" w:val="04A0"/>
      </w:tblPr>
      <w:tblGrid>
        <w:gridCol w:w="1928"/>
        <w:gridCol w:w="4876"/>
        <w:gridCol w:w="2268"/>
      </w:tblGrid>
      <w:tr>
        <w:trPr>
          <w:tblHeader/>
        </w:trPr>
        <w:tc>
          <w:tcPr>
            <w:tcW w:type="dxa" w:w="19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Frecuencia</w:t>
            </w:r>
          </w:p>
        </w:tc>
        <w:tc>
          <w:tcPr>
            <w:tcW w:type="dxa" w:w="487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Actividad</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Respaldo normativo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Anual</w:t>
            </w:r>
          </w:p>
        </w:tc>
        <w:tc>
          <w:tcPr>
            <w:tcW w:type="dxa" w:w="48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Informe de seguimiento con los indicadores del Cuadro 2 y los resultados del seguimiento a titulados; complementación de los planes de asignatura</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Art. 7 de la Res. HCU N.º 032/2025; seguimiento anual del Reglamento de Evaluación y Acreditación</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Cada dos años</w:t>
            </w:r>
          </w:p>
        </w:tc>
        <w:tc>
          <w:tcPr>
            <w:tcW w:type="dxa" w:w="48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Evaluación de la implementación, componentes de insumos y proceso: carga horaria, prácticas, laboratorios y formación docente; propuesta de ajuste curricular si corresponde. La primera, al cierre de 2028</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Art. 6 de la Res. HCU N.º 032/2025</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Cada cuatro años</w:t>
            </w:r>
          </w:p>
        </w:tc>
        <w:tc>
          <w:tcPr>
            <w:tcW w:type="dxa" w:w="48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Autoevaluación de la Carrera con informe y Plan de Mejora de la Calidad</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Reglamento de Evaluación y Acreditación</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 la primera promoción, 2031</w:t>
            </w:r>
          </w:p>
        </w:tc>
        <w:tc>
          <w:tcPr>
            <w:tcW w:type="dxa" w:w="48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Evaluación de resultados, componente de producto: titulación, inserción, ingresos y satisfacción de la primera cohorte del Plan 2027</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Propuesta de la Carrera</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Cada siete años</w:t>
            </w:r>
          </w:p>
        </w:tc>
        <w:tc>
          <w:tcPr>
            <w:tcW w:type="dxa" w:w="48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Declaración de necesidad de rediseño curricular</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Art. 5 de la Res. HCU N.º 032/2025</w:t>
            </w:r>
          </w:p>
        </w:tc>
      </w:tr>
    </w:tbl>
    <w:p>
      <w:pPr>
        <w:spacing w:before="40" w:after="200" w:line="240" w:lineRule="auto"/>
        <w:jc w:val="left"/>
      </w:pPr>
      <w:r>
        <w:rPr>
          <w:rFonts w:ascii="Century Gothic" w:hAnsi="Century Gothic" w:cs="Century Gothic" w:eastAsia="Century Gothic"/>
          <w:b w:val="0"/>
          <w:i w:val="0"/>
          <w:sz w:val="16"/>
        </w:rPr>
        <w:t>Fuente: elaboración con base en la Resolución HCU N.º 032/2025 y el Reglamento de Evaluación y Acreditación de la UMSA.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12.1.6</w:t>
        <w:tab/>
      </w:r>
      <w:r>
        <w:rPr>
          <w:rFonts w:ascii="Century Gothic" w:hAnsi="Century Gothic" w:cs="Century Gothic" w:eastAsia="Century Gothic"/>
          <w:b/>
          <w:i w:val="0"/>
          <w:sz w:val="22"/>
        </w:rPr>
        <w:t>Responsables y uso de los resultados</w:t>
      </w:r>
    </w:p>
    <w:p>
      <w:pPr>
        <w:spacing w:before="0" w:after="200" w:line="240" w:lineRule="auto"/>
        <w:jc w:val="both"/>
      </w:pPr>
      <w:r>
        <w:rPr>
          <w:rFonts w:ascii="Century Gothic" w:hAnsi="Century Gothic" w:cs="Century Gothic" w:eastAsia="Century Gothic"/>
          <w:b w:val="0"/>
          <w:i w:val="0"/>
          <w:sz w:val="20"/>
        </w:rPr>
        <w:t>Se crea la Comisión de Evaluación Curricular, de carácter permanente, presidida por la Dirección de Carrera e integrada por docentes, estudiantes, titulados y representantes de empleadores, con apoyo técnico de la División de Sistemas de Información y Estadística de la UMSA para los datos y del Centro Psicopedagógico y de Investigación en Educación Superior, CEPIES, para el diseño y el análisis de los instrumentos. Su producto es un informe anual público que concluye en un plan de mejora con responsables y plazos. Los resultados se usan para ajustar contenidos y metodologías dentro de las atribuciones de la Carrera y se acumulan como evidencia para la autoevaluación y la siguiente declaración de necesidad. Dado que un plan por competencias con seguimiento de graduados exige más capacidad administrativa, la Comisión contará con personal de apoyo asignado.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12.2</w:t>
        <w:tab/>
      </w:r>
      <w:r>
        <w:rPr>
          <w:rFonts w:ascii="Century Gothic" w:hAnsi="Century Gothic" w:cs="Century Gothic" w:eastAsia="Century Gothic"/>
          <w:b/>
          <w:i w:val="0"/>
          <w:sz w:val="24"/>
        </w:rPr>
        <w:t>Estrategias de seguimiento a titulados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12.2.1</w:t>
        <w:tab/>
      </w:r>
      <w:r>
        <w:rPr>
          <w:rFonts w:ascii="Century Gothic" w:hAnsi="Century Gothic" w:cs="Century Gothic" w:eastAsia="Century Gothic"/>
          <w:b/>
          <w:i w:val="0"/>
          <w:sz w:val="22"/>
        </w:rPr>
        <w:t>Fundamento</w:t>
      </w:r>
    </w:p>
    <w:p>
      <w:pPr>
        <w:spacing w:before="0" w:after="200" w:line="240" w:lineRule="auto"/>
        <w:jc w:val="both"/>
      </w:pPr>
      <w:r>
        <w:rPr>
          <w:rFonts w:ascii="Century Gothic" w:hAnsi="Century Gothic" w:cs="Century Gothic" w:eastAsia="Century Gothic"/>
          <w:b w:val="0"/>
          <w:i w:val="0"/>
          <w:sz w:val="20"/>
        </w:rPr>
        <w:t>Los estudios de seguimiento de graduados sirven para evaluar la pertinencia de la formación, revisar los planes de estudio, apoyar la acreditación y rendir cuentas. Miden la transición al empleo, el éxito profesional y los desajustes entre las competencias adquiridas y las que exige el trabajo (Schomburg, 2017). En Bolivia, el seguimiento a titulados forma parte de los requisitos de acreditación del Comité Ejecutivo de la Universidad Boliviana, pero muchos estudios quedan sin publicar (Aguirre y Quintanilla, 2022), una práctica que la Carrera debe cambiar.</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12.2.2</w:t>
        <w:tab/>
      </w:r>
      <w:r>
        <w:rPr>
          <w:rFonts w:ascii="Century Gothic" w:hAnsi="Century Gothic" w:cs="Century Gothic" w:eastAsia="Century Gothic"/>
          <w:b/>
          <w:i w:val="0"/>
          <w:sz w:val="22"/>
        </w:rPr>
        <w:t>Antecedentes de la Carrera</w:t>
      </w:r>
    </w:p>
    <w:p>
      <w:pPr>
        <w:spacing w:before="0" w:after="200" w:line="240" w:lineRule="auto"/>
        <w:jc w:val="both"/>
      </w:pPr>
      <w:r>
        <w:rPr>
          <w:rFonts w:ascii="Century Gothic" w:hAnsi="Century Gothic" w:cs="Century Gothic" w:eastAsia="Century Gothic"/>
          <w:b w:val="0"/>
          <w:i w:val="0"/>
          <w:sz w:val="20"/>
        </w:rPr>
        <w:t xml:space="preserve">La Carrera cuenta con tres antecedentes: un estudio exploratorio de titulados (Aguirre y Callisaya, 2014); el seguimiento a los titulados de 2014 a 2019 (Aguirre y Quintanilla, 2022), publicado en </w:t>
      </w:r>
      <w:r>
        <w:rPr>
          <w:rFonts w:ascii="Century Gothic" w:hAnsi="Century Gothic" w:cs="Century Gothic" w:eastAsia="Century Gothic"/>
          <w:b w:val="0"/>
          <w:i/>
          <w:sz w:val="20"/>
        </w:rPr>
        <w:t>Educación Superior. Revista Científica</w:t>
      </w:r>
      <w:r>
        <w:rPr>
          <w:rFonts w:ascii="Century Gothic" w:hAnsi="Century Gothic" w:cs="Century Gothic" w:eastAsia="Century Gothic"/>
          <w:b w:val="0"/>
          <w:i w:val="0"/>
          <w:sz w:val="20"/>
        </w:rPr>
        <w:t xml:space="preserve"> del CEPIES; y el estudio de Ipsos CIESMORI (2025) para toda la Facultad. El segundo es la base metodológica de las estrategias propuestas.</w:t>
      </w:r>
    </w:p>
    <w:p>
      <w:pPr>
        <w:keepNext/>
        <w:spacing w:before="40" w:after="80" w:line="240" w:lineRule="auto"/>
        <w:jc w:val="center"/>
      </w:pPr>
      <w:r>
        <w:rPr>
          <w:rFonts w:ascii="Century Gothic" w:hAnsi="Century Gothic" w:cs="Century Gothic" w:eastAsia="Century Gothic"/>
          <w:b/>
          <w:i w:val="0"/>
          <w:sz w:val="20"/>
        </w:rPr>
        <w:t>Cuadro 4. Metodología del seguimiento a titulados 2014 a 2019</w:t>
      </w:r>
    </w:p>
    <w:tbl>
      <w:tblPr>
        <w:tblW w:type="auto" w:w="0"/>
        <w:jc w:val="center"/>
        <w:tblLayout w:type="fixed"/>
        <w:tblLook w:firstColumn="1" w:firstRow="1" w:lastColumn="0" w:lastRow="0" w:noHBand="0" w:noVBand="1" w:val="04A0"/>
      </w:tblPr>
      <w:tblGrid>
        <w:gridCol w:w="2041"/>
        <w:gridCol w:w="7030"/>
      </w:tblGrid>
      <w:tr>
        <w:trPr>
          <w:tblHeader/>
        </w:trPr>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Elemento</w:t>
            </w:r>
          </w:p>
        </w:tc>
        <w:tc>
          <w:tcPr>
            <w:tcW w:type="dxa" w:w="703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Descripción</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Objetivo</w:t>
            </w:r>
          </w:p>
        </w:tc>
        <w:tc>
          <w:tcPr>
            <w:tcW w:type="dxa" w:w="7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Describir la situación laboral y la satisfacción con la formación de los titulados de Contaduría Pública graduados entre 2014 y 2019</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Diseño</w:t>
            </w:r>
          </w:p>
        </w:tc>
        <w:tc>
          <w:tcPr>
            <w:tcW w:type="dxa" w:w="7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Descriptivo, de corte transversal; levantamiento en el último trimestre de 2019</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Población y respuesta</w:t>
            </w:r>
          </w:p>
        </w:tc>
        <w:tc>
          <w:tcPr>
            <w:tcW w:type="dxa" w:w="7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3.794 titulados; 785 respuestas, de las cuales 686 fueron válidas tras depurar cuestionarios incompletos o inconsistentes, cerca del 18 % de la población</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Precisión</w:t>
            </w:r>
          </w:p>
        </w:tc>
        <w:tc>
          <w:tcPr>
            <w:tcW w:type="dxa" w:w="7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Nivel de confianza del 95 % y error del 3,7 %, con varianza máxima</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Instrumento</w:t>
            </w:r>
          </w:p>
        </w:tc>
        <w:tc>
          <w:tcPr>
            <w:tcW w:type="dxa" w:w="7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Encuesta en línea voluntaria, con invitación personal a cada titulado, anonimato y confidencialidad, incorporada a la página institucional y al Sistema de Información Académica de la UMSA</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Datos complementarios</w:t>
            </w:r>
          </w:p>
        </w:tc>
        <w:tc>
          <w:tcPr>
            <w:tcW w:type="dxa" w:w="7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Registros administrativos de la División de Sistemas de Información y Estadística, para reducir el número de preguntas</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Bloques de contenido</w:t>
            </w:r>
          </w:p>
        </w:tc>
        <w:tc>
          <w:tcPr>
            <w:tcW w:type="dxa" w:w="7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Antecedentes académicos y tiempos de formación; actividades durante la carrera, como experiencia laboral, idiomas, carrera paralela y título intermedio; formación posterior; acceso al empleo; situación laboral, con contrato, sector, tamaño, área e ingreso; y satisfacción con la formación por áreas</w:t>
            </w:r>
          </w:p>
        </w:tc>
      </w:tr>
    </w:tbl>
    <w:p>
      <w:pPr>
        <w:spacing w:before="40" w:after="200" w:line="240" w:lineRule="auto"/>
        <w:jc w:val="left"/>
      </w:pPr>
      <w:r>
        <w:rPr>
          <w:rFonts w:ascii="Century Gothic" w:hAnsi="Century Gothic" w:cs="Century Gothic" w:eastAsia="Century Gothic"/>
          <w:b w:val="0"/>
          <w:i w:val="0"/>
          <w:sz w:val="16"/>
        </w:rPr>
        <w:t>Fuente: Aguirre y Quintanilla (2022, pp. 13-14).</w:t>
      </w:r>
    </w:p>
    <w:p>
      <w:pPr>
        <w:keepNext/>
        <w:spacing w:before="40" w:after="80" w:line="240" w:lineRule="auto"/>
        <w:jc w:val="center"/>
      </w:pPr>
      <w:r>
        <w:rPr>
          <w:rFonts w:ascii="Century Gothic" w:hAnsi="Century Gothic" w:cs="Century Gothic" w:eastAsia="Century Gothic"/>
          <w:b/>
          <w:i w:val="0"/>
          <w:sz w:val="20"/>
        </w:rPr>
        <w:t>Cuadro 5. Principales hallazgos del seguimiento a titulados 2014 a 2019</w:t>
      </w:r>
    </w:p>
    <w:tbl>
      <w:tblPr>
        <w:tblW w:type="auto" w:w="0"/>
        <w:jc w:val="center"/>
        <w:tblLayout w:type="fixed"/>
        <w:tblLook w:firstColumn="1" w:firstRow="1" w:lastColumn="0" w:lastRow="0" w:noHBand="0" w:noVBand="1" w:val="04A0"/>
      </w:tblPr>
      <w:tblGrid>
        <w:gridCol w:w="1928"/>
        <w:gridCol w:w="7143"/>
      </w:tblGrid>
      <w:tr>
        <w:trPr>
          <w:tblHeader/>
        </w:trPr>
        <w:tc>
          <w:tcPr>
            <w:tcW w:type="dxa" w:w="19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Tema</w:t>
            </w:r>
          </w:p>
        </w:tc>
        <w:tc>
          <w:tcPr>
            <w:tcW w:type="dxa" w:w="714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Resultado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Tiempos de formación</w:t>
            </w:r>
          </w:p>
        </w:tc>
        <w:tc>
          <w:tcPr>
            <w:tcW w:type="dxa" w:w="71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Ingreso a los 20 años en promedio; el 75 % egresa en seis años y el 50 % se titula al séptimo año; los más rezagados tardan hasta nueve años. El 49,3 % tardó unos tres años más entre el egreso y la titulación, y el 24,6 %, cuatro años más</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Durante la carrera</w:t>
            </w:r>
          </w:p>
        </w:tc>
        <w:tc>
          <w:tcPr>
            <w:tcW w:type="dxa" w:w="71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El 65,9 % tuvo experiencia laboral o pasantía, con 17,5 meses en promedio; el 21,7 % obtuvo el título de Técnico Superior en Contabilidad General; el 27,8 % estudió un idioma y el 29,4 % cursó otra carrera en paralelo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Acceso al empleo</w:t>
            </w:r>
          </w:p>
        </w:tc>
        <w:tc>
          <w:tcPr>
            <w:tcW w:type="dxa" w:w="71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El 59,9 % encontró trabajo al titularse y el 19,4 % siguió en el que tenía; el 79,3 % trabajaba y el 20,7 % buscaba empleo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Situación laboral</w:t>
            </w:r>
          </w:p>
        </w:tc>
        <w:tc>
          <w:tcPr>
            <w:tcW w:type="dxa" w:w="71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53,5 % con contrato indefinido, 22,2 % temporal y 8,1 % por cuenta propia; 45,6 % en el sector privado, 21,3 % en el público y 12,9 % en entidades financieras; 74,5 % en contabilidad y auditoría y 20,1 % en administración; 90,8 % en cargos técnicos o de mando intermedio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Ingreso</w:t>
            </w:r>
          </w:p>
        </w:tc>
        <w:tc>
          <w:tcPr>
            <w:tcW w:type="dxa" w:w="71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El 19,1 % ganaba entre Bs 6.000 y Bs 9.999 y el 5,2 %, más de Bs 10.000; la remuneración media nominal de los profesionales en 2019 era de Bs 7.883</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Satisfacción</w:t>
            </w:r>
          </w:p>
        </w:tc>
        <w:tc>
          <w:tcPr>
            <w:tcW w:type="dxa" w:w="71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El 50,9 % considera que el título de la UMSA influyó mucho o totalmente en conseguir empleo; el 69,6 % valora como buena o muy buena la formación general. La valoración es regular en informática, relaciones interpersonales y formación administrativa y legal, y el 92,8 % califica la formación en idiomas de pésima a regular</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Formación posterior</w:t>
            </w:r>
          </w:p>
        </w:tc>
        <w:tc>
          <w:tcPr>
            <w:tcW w:type="dxa" w:w="71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El 42,9 % hizo otros cursos, el 40,5 % un diplomado, el 27,6 % cursos con certificación, el 15,7 % idiomas y cerca del 8 % una maestría</w:t>
            </w:r>
          </w:p>
        </w:tc>
      </w:tr>
    </w:tbl>
    <w:p>
      <w:pPr>
        <w:spacing w:before="40" w:after="200" w:line="240" w:lineRule="auto"/>
        <w:jc w:val="left"/>
      </w:pPr>
      <w:r>
        <w:rPr>
          <w:rFonts w:ascii="Century Gothic" w:hAnsi="Century Gothic" w:cs="Century Gothic" w:eastAsia="Century Gothic"/>
          <w:b w:val="0"/>
          <w:i w:val="0"/>
          <w:sz w:val="16"/>
        </w:rPr>
        <w:t>Fuente: Aguirre y Quintanilla (2022, pp. 14-21), con base en 686 respuestas válidas.</w:t>
      </w:r>
    </w:p>
    <w:p>
      <w:pPr>
        <w:spacing w:before="0" w:after="200" w:line="240" w:lineRule="auto"/>
        <w:jc w:val="both"/>
      </w:pPr>
      <w:r>
        <w:rPr>
          <w:rFonts w:ascii="Century Gothic" w:hAnsi="Century Gothic" w:cs="Century Gothic" w:eastAsia="Century Gothic"/>
          <w:b w:val="0"/>
          <w:i w:val="0"/>
          <w:sz w:val="20"/>
        </w:rPr>
        <w:t>El estudio reconoce sus propios límites: refleja la percepción del titulado y no la del empleador, abarca solo las promociones de 2014 a 2019, anteriores a la pandemia, y deja pendiente el análisis de otras generaciones. Desde 2019 cambiaron la economía y el mercado laboral, y los datos tienen ya seis años de antigüedad.</w:t>
      </w:r>
    </w:p>
    <w:p>
      <w:pPr>
        <w:keepNext/>
        <w:spacing w:before="40" w:after="80" w:line="240" w:lineRule="auto"/>
        <w:jc w:val="center"/>
      </w:pPr>
      <w:r>
        <w:rPr>
          <w:rFonts w:ascii="Century Gothic" w:hAnsi="Century Gothic" w:cs="Century Gothic" w:eastAsia="Century Gothic"/>
          <w:b/>
          <w:i w:val="0"/>
          <w:sz w:val="20"/>
        </w:rPr>
        <w:t>Cuadro 6. Cobertura de los estudios de seguimiento</w:t>
      </w:r>
    </w:p>
    <w:tbl>
      <w:tblPr>
        <w:tblW w:type="auto" w:w="0"/>
        <w:jc w:val="center"/>
        <w:tblLayout w:type="fixed"/>
        <w:tblLook w:firstColumn="1" w:firstRow="1" w:lastColumn="0" w:lastRow="0" w:noHBand="0" w:noVBand="1" w:val="04A0"/>
      </w:tblPr>
      <w:tblGrid>
        <w:gridCol w:w="4535"/>
        <w:gridCol w:w="2268"/>
        <w:gridCol w:w="2268"/>
      </w:tblGrid>
      <w:tr>
        <w:trPr>
          <w:tblHeader/>
        </w:trPr>
        <w:tc>
          <w:tcPr>
            <w:tcW w:type="dxa" w:w="45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Dimensión</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Seguimiento 2014 a 2019</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Ipsos CIESMORI 2025</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Trayectoria académica: ingreso, egreso y titulación</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Sí</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Parcial</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Experiencia laboral durante la carrera</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Sí</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No</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Inserción, contrato, sector e ingreso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Sí</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Sí</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Ejercicio de la carrera y motivos para no ejercerla</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No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Sí</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Competencias requeridas frente a las enseñadas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Parcial</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Sí</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Pertinencia de las asignaturas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No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Sí</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Satisfacción con la formación</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Sí</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Sí</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Formación posterior</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Sí</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Parcial</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Opinión de empleadores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No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Parcial, fase cualitativa</w:t>
            </w:r>
          </w:p>
        </w:tc>
      </w:tr>
    </w:tbl>
    <w:p>
      <w:pPr>
        <w:spacing w:before="40" w:after="200" w:line="240" w:lineRule="auto"/>
        <w:jc w:val="left"/>
      </w:pPr>
      <w:r>
        <w:rPr>
          <w:rFonts w:ascii="Century Gothic" w:hAnsi="Century Gothic" w:cs="Century Gothic" w:eastAsia="Century Gothic"/>
          <w:b w:val="0"/>
          <w:i w:val="0"/>
          <w:sz w:val="16"/>
        </w:rPr>
        <w:t>Parcial indica que el tema aparece sin el detalle necesario para seguirlo en el tiempo. Fuente: elaboración propia.</w:t>
      </w:r>
    </w:p>
    <w:p>
      <w:pPr>
        <w:spacing w:before="0" w:after="200" w:line="240" w:lineRule="auto"/>
        <w:jc w:val="both"/>
      </w:pPr>
      <w:r>
        <w:rPr>
          <w:rFonts w:ascii="Century Gothic" w:hAnsi="Century Gothic" w:cs="Century Gothic" w:eastAsia="Century Gothic"/>
          <w:b w:val="0"/>
          <w:i w:val="0"/>
          <w:sz w:val="20"/>
        </w:rPr>
        <w:t>Los dos estudios se complementan, pero no forman una serie, porque usan poblaciones, escalas y rangos de ingreso distintos. Para saber dentro de cuatro años si algo mejoró, es necesario fijar desde ahora un instrumento común.</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12.2.3</w:t>
        <w:tab/>
      </w:r>
      <w:r>
        <w:rPr>
          <w:rFonts w:ascii="Century Gothic" w:hAnsi="Century Gothic" w:cs="Century Gothic" w:eastAsia="Century Gothic"/>
          <w:b/>
          <w:i w:val="0"/>
          <w:sz w:val="22"/>
        </w:rPr>
        <w:t>Estrategias propuestas</w:t>
      </w:r>
    </w:p>
    <w:p>
      <w:pPr>
        <w:keepNext/>
        <w:spacing w:before="40" w:after="80" w:line="240" w:lineRule="auto"/>
        <w:jc w:val="center"/>
      </w:pPr>
      <w:r>
        <w:rPr>
          <w:rFonts w:ascii="Century Gothic" w:hAnsi="Century Gothic" w:cs="Century Gothic" w:eastAsia="Century Gothic"/>
          <w:b/>
          <w:i w:val="0"/>
          <w:sz w:val="20"/>
        </w:rPr>
        <w:t>Cuadro 7. Estrategias de seguimiento a titulados</w:t>
      </w:r>
    </w:p>
    <w:tbl>
      <w:tblPr>
        <w:tblW w:type="auto" w:w="0"/>
        <w:jc w:val="center"/>
        <w:tblLayout w:type="fixed"/>
        <w:tblLook w:firstColumn="1" w:firstRow="1" w:lastColumn="0" w:lastRow="0" w:noHBand="0" w:noVBand="1" w:val="04A0"/>
      </w:tblPr>
      <w:tblGrid>
        <w:gridCol w:w="567"/>
        <w:gridCol w:w="2268"/>
        <w:gridCol w:w="6236"/>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N.°</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Estrategia</w:t>
            </w:r>
          </w:p>
        </w:tc>
        <w:tc>
          <w:tcPr>
            <w:tcW w:type="dxa" w:w="623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Registro permanente al titularse</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Cada titulado completa una ficha de salida con datos de contacto, consentimiento y trayectoria básica, integrada al Sistema de Información Académica, lo que resuelve el problema de los directorios incompletos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Estudios por cohorte a uno, tres y cinco años</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Cada cohorte se encuesta con el mismo instrumento al año, a los tres y a los cinco años de egreso, como estrategia cíclica de evaluación recomendada por la ANUIES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Instrumento común con módulos rotativos</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Un núcleo fijo de indicadores, detallado en el Cuadro 8, y módulos temáticos anuales sobre tecnología, idiomas, ética o emprendimiento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Meta de respuesta y recordatorios</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Invitación personal, encuesta en línea con alternativa telefónica y hasta cuatro contactos por cohorte, con la meta de superar el 18 % de respuesta válida de 2019 y aproximarse al 45 % o 50 % que logran las redes internacionales de estudios de graduados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5</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Encuesta a empleadores</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Muestra de firmas de auditoría, empresas, entidades públicas y financieras donde trabajan los titulados, sobre las competencias que observan; es la pieza que el estudio de 2022 señaló como pendiente</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6</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Red de titulados</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Directorio con consentimiento, boletín y vínculo con prácticas, bolsa de trabajo y educación continua, en articulación con el punto 7</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7</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Análisis de la no respuesta</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Comparación entre quienes responden y quienes no responden con los registros estadísticos de la UMSA, por año de titulación, sexo y modalidad, para conocer la representatividad de los resultados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8</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Publicación y devolución</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Informe anual público y artículo periódico en la revista del CEPIES u otra, con el instrumento y el procedimiento documentados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Protección de datos y ética</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Anonimato, confidencialidad, consentimiento informado, resguardo de la base de datos y acceso reglamentado</w:t>
            </w:r>
          </w:p>
        </w:tc>
      </w:tr>
    </w:tbl>
    <w:p>
      <w:pPr>
        <w:spacing w:before="40" w:after="200" w:line="240" w:lineRule="auto"/>
        <w:jc w:val="left"/>
      </w:pPr>
      <w:r>
        <w:rPr>
          <w:rFonts w:ascii="Century Gothic" w:hAnsi="Century Gothic" w:cs="Century Gothic" w:eastAsia="Century Gothic"/>
          <w:b w:val="0"/>
          <w:i w:val="0"/>
          <w:sz w:val="16"/>
        </w:rPr>
        <w:t>Fuente: elaboración con base en Aguirre y Quintanilla (2022), Schomburg (2017) e IPN (s. f.).</w:t>
      </w:r>
    </w:p>
    <w:p>
      <w:pPr>
        <w:keepNext/>
        <w:spacing w:before="40" w:after="80" w:line="240" w:lineRule="auto"/>
        <w:jc w:val="center"/>
      </w:pPr>
      <w:r>
        <w:rPr>
          <w:rFonts w:ascii="Century Gothic" w:hAnsi="Century Gothic" w:cs="Century Gothic" w:eastAsia="Century Gothic"/>
          <w:b/>
          <w:i w:val="0"/>
          <w:sz w:val="20"/>
        </w:rPr>
        <w:t>Cuadro 8. Núcleo de indicadores del seguimiento</w:t>
      </w:r>
    </w:p>
    <w:tbl>
      <w:tblPr>
        <w:tblW w:type="auto" w:w="0"/>
        <w:jc w:val="center"/>
        <w:tblLayout w:type="fixed"/>
        <w:tblLook w:firstColumn="1" w:firstRow="1" w:lastColumn="0" w:lastRow="0" w:noHBand="0" w:noVBand="1" w:val="04A0"/>
      </w:tblPr>
      <w:tblGrid>
        <w:gridCol w:w="3628"/>
        <w:gridCol w:w="3628"/>
        <w:gridCol w:w="1814"/>
      </w:tblGrid>
      <w:tr>
        <w:trPr>
          <w:tblHeader/>
        </w:trPr>
        <w:tc>
          <w:tcPr>
            <w:tcW w:type="dxa" w:w="36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Indicador</w:t>
            </w:r>
          </w:p>
        </w:tc>
        <w:tc>
          <w:tcPr>
            <w:tcW w:type="dxa" w:w="36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Referencia disponible</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Frecuencia</w:t>
            </w:r>
          </w:p>
        </w:tc>
      </w:tr>
      <w:tr>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Tasa de respuesta y representatividad</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18 %, 2019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Cada levantamiento</w:t>
            </w:r>
          </w:p>
        </w:tc>
      </w:tr>
      <w:tr>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Meses entre egreso y titulación</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36 meses de rezago medio, 2019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Anual</w:t>
            </w:r>
          </w:p>
        </w:tc>
      </w:tr>
      <w:tr>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Porcentaje empleado a los 12 meses de titularse</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79,3 % al momento de la encuesta, 2019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Por cohorte</w:t>
            </w:r>
          </w:p>
        </w:tc>
      </w:tr>
      <w:tr>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Porcentaje que ejerce en contabilidad, auditoría, impuestos o finanzas</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74,5 % en contabilidad y auditoría, 2019; 63 % ejerce la carrera, 2025</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Por cohorte</w:t>
            </w:r>
          </w:p>
        </w:tc>
      </w:tr>
      <w:tr>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Ingreso mensual en rangos fijos y comparables</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Rangos distintos en 2019 y 2025</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Por cohorte</w:t>
            </w:r>
          </w:p>
        </w:tc>
      </w:tr>
      <w:tr>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Tipo de contrato y nivel jerárquico</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53,5 % indefinido; 90,8 % técnico o mando intermedio, 2019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Por cohorte</w:t>
            </w:r>
          </w:p>
        </w:tc>
      </w:tr>
      <w:tr>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Satisfacción con la formación por área</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Estudio de 2019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Por cohorte</w:t>
            </w:r>
          </w:p>
        </w:tc>
      </w:tr>
      <w:tr>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Brecha entre competencia requerida y enseñada</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Matriz de Ipsos CIESMORI, 2025</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Cada dos años</w:t>
            </w:r>
          </w:p>
        </w:tc>
      </w:tr>
      <w:tr>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Porcentaje en educación continua o postgrado</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40,5 % diplomado; cerca del 8 % maestría, 2019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Por cohorte</w:t>
            </w:r>
          </w:p>
        </w:tc>
      </w:tr>
      <w:tr>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Opinión de empleadores sobre el desempeño</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Sin dato</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Cada dos años</w:t>
            </w:r>
          </w:p>
        </w:tc>
      </w:tr>
    </w:tbl>
    <w:p>
      <w:pPr>
        <w:spacing w:before="40" w:after="200" w:line="240" w:lineRule="auto"/>
        <w:jc w:val="left"/>
      </w:pPr>
      <w:r>
        <w:rPr>
          <w:rFonts w:ascii="Century Gothic" w:hAnsi="Century Gothic" w:cs="Century Gothic" w:eastAsia="Century Gothic"/>
          <w:b w:val="0"/>
          <w:i w:val="0"/>
          <w:sz w:val="16"/>
        </w:rPr>
        <w:t>Fuente: elaboración con base en Aguirre y Quintanilla (2022) e Ipsos CIESMORI (2025).</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12.2.4</w:t>
        <w:tab/>
      </w:r>
      <w:r>
        <w:rPr>
          <w:rFonts w:ascii="Century Gothic" w:hAnsi="Century Gothic" w:cs="Century Gothic" w:eastAsia="Century Gothic"/>
          <w:b/>
          <w:i w:val="0"/>
          <w:sz w:val="22"/>
        </w:rPr>
        <w:t>Continuidad de la metodología de seguimiento</w:t>
      </w:r>
    </w:p>
    <w:p>
      <w:pPr>
        <w:spacing w:before="0" w:after="200" w:line="240" w:lineRule="auto"/>
        <w:jc w:val="both"/>
      </w:pPr>
      <w:r>
        <w:rPr>
          <w:rFonts w:ascii="Century Gothic" w:hAnsi="Century Gothic" w:cs="Century Gothic" w:eastAsia="Century Gothic"/>
          <w:b w:val="0"/>
          <w:i w:val="0"/>
          <w:sz w:val="20"/>
        </w:rPr>
        <w:t>La Carrera adopta como procedimiento permanente la metodología del estudio «Seguimiento a los titulados de la Carrera de Contaduría Pública de la UMSA graduados entre el 2014 y el 2019» (Aguirre y Quintanilla, 2022). Mantener esta metodología significa:</w:t>
      </w:r>
    </w:p>
    <w:p>
      <w:pPr>
        <w:numPr>
          <w:ilvl w:val="0"/>
          <w:numId w:val="903"/>
        </w:numPr>
        <w:spacing w:before="0" w:after="160" w:line="240" w:lineRule="auto"/>
        <w:jc w:val="both"/>
      </w:pPr>
      <w:r>
        <w:rPr>
          <w:rFonts w:ascii="Century Gothic" w:hAnsi="Century Gothic" w:cs="Century Gothic" w:eastAsia="Century Gothic"/>
          <w:b w:val="0"/>
          <w:i w:val="0"/>
          <w:sz w:val="20"/>
        </w:rPr>
        <w:t>Encuestar a toda la población de titulados de cada cohorte, no a una muestra de conveniencia.</w:t>
      </w:r>
    </w:p>
    <w:p>
      <w:pPr>
        <w:numPr>
          <w:ilvl w:val="0"/>
          <w:numId w:val="903"/>
        </w:numPr>
        <w:spacing w:before="0" w:after="160" w:line="240" w:lineRule="auto"/>
        <w:jc w:val="both"/>
      </w:pPr>
      <w:r>
        <w:rPr>
          <w:rFonts w:ascii="Century Gothic" w:hAnsi="Century Gothic" w:cs="Century Gothic" w:eastAsia="Century Gothic"/>
          <w:b w:val="0"/>
          <w:i w:val="0"/>
          <w:sz w:val="20"/>
        </w:rPr>
        <w:t>Aplicar la encuesta voluntaria integrada al Sistema de Información Académica de la UMSA, con invitación personal a cada titulado y cruce con los registros estadísticos de la Universidad.</w:t>
      </w:r>
    </w:p>
    <w:p>
      <w:pPr>
        <w:numPr>
          <w:ilvl w:val="0"/>
          <w:numId w:val="903"/>
        </w:numPr>
        <w:spacing w:before="0" w:after="160" w:line="240" w:lineRule="auto"/>
        <w:jc w:val="both"/>
      </w:pPr>
      <w:r>
        <w:rPr>
          <w:rFonts w:ascii="Century Gothic" w:hAnsi="Century Gothic" w:cs="Century Gothic" w:eastAsia="Century Gothic"/>
          <w:b w:val="0"/>
          <w:i w:val="0"/>
          <w:sz w:val="20"/>
        </w:rPr>
        <w:t>Conservar los bloques de contenido, las escalas y los rangos de ingreso, y documentar y justificar cualquier cambio.</w:t>
      </w:r>
    </w:p>
    <w:p>
      <w:pPr>
        <w:numPr>
          <w:ilvl w:val="0"/>
          <w:numId w:val="903"/>
        </w:numPr>
        <w:spacing w:before="0" w:after="200" w:line="240" w:lineRule="auto"/>
        <w:jc w:val="both"/>
      </w:pPr>
      <w:r>
        <w:rPr>
          <w:rFonts w:ascii="Century Gothic" w:hAnsi="Century Gothic" w:cs="Century Gothic" w:eastAsia="Century Gothic"/>
          <w:b w:val="0"/>
          <w:i w:val="0"/>
          <w:sz w:val="20"/>
        </w:rPr>
        <w:t>Mantener los procedimientos de calidad: depuración de cuestionarios incompletos o inconsistentes, anonimato y confidencialidad, y reporte del nivel de confianza y del error con la fórmula del estudio original.</w:t>
      </w:r>
    </w:p>
    <w:p>
      <w:pPr>
        <w:spacing w:before="0" w:after="200" w:line="240" w:lineRule="auto"/>
        <w:jc w:val="both"/>
      </w:pPr>
      <w:r>
        <w:rPr>
          <w:rFonts w:ascii="Century Gothic" w:hAnsi="Century Gothic" w:cs="Century Gothic" w:eastAsia="Century Gothic"/>
          <w:b w:val="0"/>
          <w:i w:val="0"/>
          <w:sz w:val="20"/>
        </w:rPr>
        <w:t>Las razones son prácticas. La metodología ya fue aplicada a 686 titulados y publicada en una revista de la propia Universidad tras revisión editorial; es de bajo costo porque se apoya en registros existentes; cumple los criterios de objetivos definidos, temporalidad delimitada, periodicidad y contextualización que recomiendan las redes especializadas; y, sobre todo, permite comparar resultados en el tiempo. Mantenerla no significa dejarla igual: se incorporan la voz de los empleadores, el análisis de la no respuesta con una meta de respuesta más alta y, como primer paso inmediato, la aplicación del instrumento a los titulados posteriores a 2019. Solo entre 2021 y 2025 se titularon 1.893 personas, generaciones que vivieron la pandemia y la crisis económica y que no han sido consultadas; esa encuesta dará la línea base del Plan 2013 antes de aplicar el Plan 2027.</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12.2.5</w:t>
        <w:tab/>
      </w:r>
      <w:r>
        <w:rPr>
          <w:rFonts w:ascii="Century Gothic" w:hAnsi="Century Gothic" w:cs="Century Gothic" w:eastAsia="Century Gothic"/>
          <w:b/>
          <w:i w:val="0"/>
          <w:sz w:val="22"/>
        </w:rPr>
        <w:t>Disposiciones para la evaluación y el seguimiento</w:t>
      </w:r>
    </w:p>
    <w:p>
      <w:pPr>
        <w:numPr>
          <w:ilvl w:val="0"/>
          <w:numId w:val="904"/>
        </w:numPr>
        <w:spacing w:before="0" w:after="160" w:line="240" w:lineRule="auto"/>
        <w:jc w:val="both"/>
      </w:pPr>
      <w:r>
        <w:rPr>
          <w:rFonts w:ascii="Century Gothic" w:hAnsi="Century Gothic" w:cs="Century Gothic" w:eastAsia="Century Gothic"/>
          <w:b w:val="0"/>
          <w:i w:val="0"/>
          <w:sz w:val="20"/>
        </w:rPr>
        <w:t>Adoptar los criterios del Artículo 11 de la Resolución HCU N.º 032/2025 como estructura de la evaluación curricular y aprobar la matriz del Cuadro 2 con sus indicadores y línea base.</w:t>
      </w:r>
    </w:p>
    <w:p>
      <w:pPr>
        <w:numPr>
          <w:ilvl w:val="0"/>
          <w:numId w:val="904"/>
        </w:numPr>
        <w:spacing w:before="0" w:after="160" w:line="240" w:lineRule="auto"/>
        <w:jc w:val="both"/>
      </w:pPr>
      <w:r>
        <w:rPr>
          <w:rFonts w:ascii="Century Gothic" w:hAnsi="Century Gothic" w:cs="Century Gothic" w:eastAsia="Century Gothic"/>
          <w:b w:val="0"/>
          <w:i w:val="0"/>
          <w:sz w:val="20"/>
        </w:rPr>
        <w:t>Crear la Comisión de Evaluación Curricular con representación de docentes, estudiantes, titulados y empleadores, personal de apoyo asignado e informe anual público.</w:t>
      </w:r>
    </w:p>
    <w:p>
      <w:pPr>
        <w:numPr>
          <w:ilvl w:val="0"/>
          <w:numId w:val="904"/>
        </w:numPr>
        <w:spacing w:before="0" w:after="160" w:line="240" w:lineRule="auto"/>
        <w:jc w:val="both"/>
      </w:pPr>
      <w:r>
        <w:rPr>
          <w:rFonts w:ascii="Century Gothic" w:hAnsi="Century Gothic" w:cs="Century Gothic" w:eastAsia="Century Gothic"/>
          <w:b w:val="0"/>
          <w:i w:val="0"/>
          <w:sz w:val="20"/>
        </w:rPr>
        <w:t>Aplicar el calendario del Cuadro 3: informe anual, evaluación de la implementación cada dos años, autoevaluación cada cuatro años, evaluación de resultados con la primera promoción y declaración de necesidad a los siete años.</w:t>
      </w:r>
    </w:p>
    <w:p>
      <w:pPr>
        <w:numPr>
          <w:ilvl w:val="0"/>
          <w:numId w:val="904"/>
        </w:numPr>
        <w:spacing w:before="0" w:after="160" w:line="240" w:lineRule="auto"/>
        <w:jc w:val="both"/>
      </w:pPr>
      <w:r>
        <w:rPr>
          <w:rFonts w:ascii="Century Gothic" w:hAnsi="Century Gothic" w:cs="Century Gothic" w:eastAsia="Century Gothic"/>
          <w:b w:val="0"/>
          <w:i w:val="0"/>
          <w:sz w:val="20"/>
        </w:rPr>
        <w:t>Mantener la metodología del estudio de seguimiento a titulados como procedimiento permanente, con instrumento común, cohortes a uno, tres y cinco años y documentación completa.</w:t>
      </w:r>
    </w:p>
    <w:p>
      <w:pPr>
        <w:numPr>
          <w:ilvl w:val="0"/>
          <w:numId w:val="904"/>
        </w:numPr>
        <w:spacing w:before="0" w:after="160" w:line="240" w:lineRule="auto"/>
        <w:jc w:val="both"/>
      </w:pPr>
      <w:r>
        <w:rPr>
          <w:rFonts w:ascii="Century Gothic" w:hAnsi="Century Gothic" w:cs="Century Gothic" w:eastAsia="Century Gothic"/>
          <w:b w:val="0"/>
          <w:i w:val="0"/>
          <w:sz w:val="20"/>
        </w:rPr>
        <w:t>Aplicar de inmediato el instrumento a los titulados de 2020 a 2025 para contar con una línea base antes de iniciar el Plan 2027.</w:t>
      </w:r>
    </w:p>
    <w:p>
      <w:pPr>
        <w:numPr>
          <w:ilvl w:val="0"/>
          <w:numId w:val="904"/>
        </w:numPr>
        <w:spacing w:before="0" w:after="160" w:line="240" w:lineRule="auto"/>
        <w:jc w:val="both"/>
      </w:pPr>
      <w:r>
        <w:rPr>
          <w:rFonts w:ascii="Century Gothic" w:hAnsi="Century Gothic" w:cs="Century Gothic" w:eastAsia="Century Gothic"/>
          <w:b w:val="0"/>
          <w:i w:val="0"/>
          <w:sz w:val="20"/>
        </w:rPr>
        <w:t>Incorporar a los empleadores mediante una encuesta bienal y un panel de consulta, y armonizar los instrumentos de la Carrera con la matriz de competencias del estudio de Ipsos CIESMORI.</w:t>
      </w:r>
    </w:p>
    <w:p>
      <w:pPr>
        <w:numPr>
          <w:ilvl w:val="0"/>
          <w:numId w:val="904"/>
        </w:numPr>
        <w:spacing w:before="0" w:after="200" w:line="240" w:lineRule="auto"/>
        <w:jc w:val="both"/>
      </w:pPr>
      <w:r>
        <w:rPr>
          <w:rFonts w:ascii="Century Gothic" w:hAnsi="Century Gothic" w:cs="Century Gothic" w:eastAsia="Century Gothic"/>
          <w:b w:val="0"/>
          <w:i w:val="0"/>
          <w:sz w:val="20"/>
        </w:rPr>
        <w:t>Publicar los resultados, convertirlos en planes de mejora con responsables y plazos, y proponer que el Reglamento de Evaluación y Acreditación de la UMSA reconozca de forma expresa el seguimiento a titulados.</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0"/>
    <w:lvlOverride w:ilvl="0">
      <w:startOverride w:val="1"/>
    </w:lvlOverride>
  </w:num>
  <w:num w:numId="903">
    <w:abstractNumId w:val="902"/>
    <w:lvlOverride w:ilvl="0">
      <w:startOverride w:val="1"/>
    </w:lvlOverride>
  </w:num>
  <w:num w:numId="904">
    <w:abstractNumId w:val="9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