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Justificación de la Innovación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Justificación de la innovación curricular</w:t>
      </w:r>
    </w:p>
    <w:p>
      <w:pPr>
        <w:spacing w:before="0" w:after="200" w:line="240" w:lineRule="auto"/>
        <w:jc w:val="both"/>
      </w:pPr>
      <w:r>
        <w:rPr>
          <w:rFonts w:ascii="Century Gothic" w:hAnsi="Century Gothic" w:cs="Century Gothic" w:eastAsia="Century Gothic"/>
          <w:b w:val="0"/>
          <w:i w:val="0"/>
          <w:sz w:val="20"/>
        </w:rPr>
        <w:t>Este punto responde al numeral 3 del Artículo 8 del Reglamento de Innovación Curricular de la UMSA, aprobado por Resolución HCU N.º 032/2025, y a los criterios del Artículo 12, que exigen describir los planes anteriores y sus resultados, diagnosticar las políticas, las normas, el contexto y el mercado laboral, identificar las áreas laborales y analizar la oferta similar nacional e internacional. El mismo artículo establece que la justificación «es vinculante con la definición de la misión, del perfil profesional, las competencias y los contenidos»; por ello, cada subpunto cierra con las necesidades de formación que de él se derivan.</w:t>
      </w:r>
    </w:p>
    <w:p>
      <w:pPr>
        <w:spacing w:before="0" w:after="200" w:line="240" w:lineRule="auto"/>
        <w:jc w:val="both"/>
      </w:pPr>
      <w:r>
        <w:rPr>
          <w:rFonts w:ascii="Century Gothic" w:hAnsi="Century Gothic" w:cs="Century Gothic" w:eastAsia="Century Gothic"/>
          <w:b/>
          <w:i w:val="0"/>
          <w:sz w:val="20"/>
        </w:rPr>
        <w:t>Conclusión anticipada.</w:t>
      </w:r>
      <w:r>
        <w:rPr>
          <w:rFonts w:ascii="Century Gothic" w:hAnsi="Century Gothic" w:cs="Century Gothic" w:eastAsia="Century Gothic"/>
          <w:b w:val="0"/>
          <w:i w:val="0"/>
          <w:sz w:val="20"/>
        </w:rPr>
        <w:t xml:space="preserve"> La evidencia de los cinco subpuntos converge en una misma decisión: el Plan de Estudios 2013 debe ser objeto de </w:t>
      </w:r>
      <w:r>
        <w:rPr>
          <w:rFonts w:ascii="Century Gothic" w:hAnsi="Century Gothic" w:cs="Century Gothic" w:eastAsia="Century Gothic"/>
          <w:b/>
          <w:i w:val="0"/>
          <w:sz w:val="20"/>
        </w:rPr>
        <w:t>rediseño curricular</w:t>
      </w:r>
      <w:r>
        <w:rPr>
          <w:rFonts w:ascii="Century Gothic" w:hAnsi="Century Gothic" w:cs="Century Gothic" w:eastAsia="Century Gothic"/>
          <w:b w:val="0"/>
          <w:i w:val="0"/>
          <w:sz w:val="20"/>
        </w:rPr>
        <w:t>, conforme al Artículo 5 de la Resolución HCU N.º 032/2025, y no de ajuste, por cinco razones concurrentes:</w:t>
      </w:r>
    </w:p>
    <w:p>
      <w:pPr>
        <w:numPr>
          <w:ilvl w:val="0"/>
          <w:numId w:val="901"/>
        </w:numPr>
        <w:spacing w:before="0" w:after="160" w:line="240" w:lineRule="auto"/>
        <w:jc w:val="both"/>
      </w:pPr>
      <w:r>
        <w:rPr>
          <w:rFonts w:ascii="Century Gothic" w:hAnsi="Century Gothic" w:cs="Century Gothic" w:eastAsia="Century Gothic"/>
          <w:b w:val="0"/>
          <w:i w:val="0"/>
          <w:sz w:val="20"/>
        </w:rPr>
        <w:t>Su vigencia de trece años supera el plazo de siete años fijado por la UMSA y el de diez años del Sistema de la Universidad Boliviana.</w:t>
      </w:r>
    </w:p>
    <w:p>
      <w:pPr>
        <w:numPr>
          <w:ilvl w:val="0"/>
          <w:numId w:val="901"/>
        </w:numPr>
        <w:spacing w:before="0" w:after="160" w:line="240" w:lineRule="auto"/>
        <w:jc w:val="both"/>
      </w:pPr>
      <w:r>
        <w:rPr>
          <w:rFonts w:ascii="Century Gothic" w:hAnsi="Century Gothic" w:cs="Century Gothic" w:eastAsia="Century Gothic"/>
          <w:b w:val="0"/>
          <w:i w:val="0"/>
          <w:sz w:val="20"/>
        </w:rPr>
        <w:t>La adopción del perfil del Contador Público Autorizado aprobado por el Sistema de la Universidad Boliviana reformula el perfil de egreso, operación que el Artículo 6 excluye del nivel de ajuste.</w:t>
      </w:r>
    </w:p>
    <w:p>
      <w:pPr>
        <w:numPr>
          <w:ilvl w:val="0"/>
          <w:numId w:val="901"/>
        </w:numPr>
        <w:spacing w:before="0" w:after="160" w:line="240" w:lineRule="auto"/>
        <w:jc w:val="both"/>
      </w:pPr>
      <w:r>
        <w:rPr>
          <w:rFonts w:ascii="Century Gothic" w:hAnsi="Century Gothic" w:cs="Century Gothic" w:eastAsia="Century Gothic"/>
          <w:b w:val="0"/>
          <w:i w:val="0"/>
          <w:sz w:val="20"/>
        </w:rPr>
        <w:t>Normas obligatorias posteriores a 2013, en particular las NIIF de Sostenibilidad, exigibles en Bolivia desde el 1 de enero de 2027, no tienen correlato en la malla vigente.</w:t>
      </w:r>
    </w:p>
    <w:p>
      <w:pPr>
        <w:numPr>
          <w:ilvl w:val="0"/>
          <w:numId w:val="901"/>
        </w:numPr>
        <w:spacing w:before="0" w:after="160" w:line="240" w:lineRule="auto"/>
        <w:jc w:val="both"/>
      </w:pPr>
      <w:r>
        <w:rPr>
          <w:rFonts w:ascii="Century Gothic" w:hAnsi="Century Gothic" w:cs="Century Gothic" w:eastAsia="Century Gothic"/>
          <w:b w:val="0"/>
          <w:i w:val="0"/>
          <w:sz w:val="20"/>
        </w:rPr>
        <w:t>Los egresados se insertan en el mercado laboral, pero con un techo técnico operativo y con su mayor carencia en competencias tecnológicas.</w:t>
      </w:r>
    </w:p>
    <w:p>
      <w:pPr>
        <w:numPr>
          <w:ilvl w:val="0"/>
          <w:numId w:val="901"/>
        </w:numPr>
        <w:spacing w:before="0" w:after="200" w:line="240" w:lineRule="auto"/>
        <w:jc w:val="both"/>
      </w:pPr>
      <w:r>
        <w:rPr>
          <w:rFonts w:ascii="Century Gothic" w:hAnsi="Century Gothic" w:cs="Century Gothic" w:eastAsia="Century Gothic"/>
          <w:b w:val="0"/>
          <w:i w:val="0"/>
          <w:sz w:val="20"/>
        </w:rPr>
        <w:t>El enfoque por competencias, con prácticas preprofesionales y evaluación por evidencias, exige una nueva estructura curricular.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3.1</w:t>
        <w:tab/>
      </w:r>
      <w:r>
        <w:rPr>
          <w:rFonts w:ascii="Century Gothic" w:hAnsi="Century Gothic" w:cs="Century Gothic" w:eastAsia="Century Gothic"/>
          <w:b/>
          <w:i w:val="0"/>
          <w:sz w:val="24"/>
        </w:rPr>
        <w:t>Análisis de resultados obtenidos con anteriores planes de estudio (descripción estadística y cualitativa)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3.1.1</w:t>
        <w:tab/>
      </w:r>
      <w:r>
        <w:rPr>
          <w:rFonts w:ascii="Century Gothic" w:hAnsi="Century Gothic" w:cs="Century Gothic" w:eastAsia="Century Gothic"/>
          <w:b/>
          <w:i w:val="0"/>
          <w:sz w:val="22"/>
        </w:rPr>
        <w:t>El plan vigente</w:t>
      </w:r>
    </w:p>
    <w:p>
      <w:pPr>
        <w:spacing w:before="0" w:after="200" w:line="240" w:lineRule="auto"/>
        <w:jc w:val="both"/>
      </w:pPr>
      <w:r>
        <w:rPr>
          <w:rFonts w:ascii="Century Gothic" w:hAnsi="Century Gothic" w:cs="Century Gothic" w:eastAsia="Century Gothic"/>
          <w:b w:val="0"/>
          <w:i w:val="0"/>
          <w:sz w:val="20"/>
        </w:rPr>
        <w:t>El Plan de Estudios 2013 fue aprobado por el Primer Congreso Académico de la Carrera y por las Resoluciones HCC N.º 162/2012, HCF N.º 929/2012 y HCU N.º 025/2013, y rige desde febrero de 2013. Comprende cinco años, 43 asignaturas y 6.000 horas académicas. De las asignaturas, 29 son troncales, el 67,44 %, en las áreas de Información Financiera y de Servicios de Atestación y No Atestación, y 14 son contextuales, el 32,56 %, en las áreas de Administración, Derecho, Economía y Matemáticas. Las 6.000 horas son el máximo fijado por el Artículo 28 del Reglamento General de Títulos y Grados del Sistema de la Universidad Boliviana; en consecuencia, toda incorporación de contenidos exige redistribuir la carga horaria y no aumentarla, operación propia del rediseño.</w:t>
      </w:r>
    </w:p>
    <w:p>
      <w:pPr>
        <w:keepNext/>
        <w:spacing w:before="40" w:after="80" w:line="240" w:lineRule="auto"/>
        <w:jc w:val="center"/>
      </w:pPr>
      <w:r>
        <w:rPr>
          <w:rFonts w:ascii="Century Gothic" w:hAnsi="Century Gothic" w:cs="Century Gothic" w:eastAsia="Century Gothic"/>
          <w:b/>
          <w:i w:val="0"/>
          <w:sz w:val="20"/>
        </w:rPr>
        <w:t>Cuadro 1. Trayectoria de aprobación del Plan de Estudios 2013</w:t>
      </w:r>
    </w:p>
    <w:tbl>
      <w:tblPr>
        <w:tblW w:type="auto" w:w="0"/>
        <w:jc w:val="center"/>
        <w:tblLayout w:type="fixed"/>
        <w:tblLook w:firstColumn="1" w:firstRow="1" w:lastColumn="0" w:lastRow="0" w:noHBand="0" w:noVBand="1" w:val="04A0"/>
      </w:tblPr>
      <w:tblGrid>
        <w:gridCol w:w="4252"/>
        <w:gridCol w:w="1984"/>
        <w:gridCol w:w="2835"/>
      </w:tblGrid>
      <w:tr>
        <w:trPr>
          <w:tblHeader/>
        </w:trPr>
        <w:tc>
          <w:tcPr>
            <w:tcW w:type="dxa" w:w="42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Instancia</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Resolución</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Fecha</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Primer Congreso Académico de la Carrera</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N.º 19/2012</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 de octubre de 2012</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Honorable Consejo de Carrera</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N.º 162/2012</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 de octubre de 2012</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Honorable Consejo Facultativo</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N.º 929/2012</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29 de noviembre de 2012</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Honorable Consejo Universitario</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N.º 025/2013</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21 de febrero de 2013</w:t>
            </w:r>
          </w:p>
        </w:tc>
      </w:tr>
    </w:tbl>
    <w:p>
      <w:pPr>
        <w:spacing w:before="40" w:after="200" w:line="240" w:lineRule="auto"/>
        <w:jc w:val="left"/>
      </w:pPr>
      <w:r>
        <w:rPr>
          <w:rFonts w:ascii="Century Gothic" w:hAnsi="Century Gothic" w:cs="Century Gothic" w:eastAsia="Century Gothic"/>
          <w:b w:val="0"/>
          <w:i w:val="0"/>
          <w:sz w:val="16"/>
        </w:rPr>
        <w:t>Fuente: Documento Académico «Diseño Curricular 2013».</w:t>
      </w:r>
    </w:p>
    <w:p>
      <w:pPr>
        <w:keepNext/>
        <w:spacing w:before="40" w:after="80" w:line="240" w:lineRule="auto"/>
        <w:jc w:val="center"/>
      </w:pPr>
      <w:r>
        <w:rPr>
          <w:rFonts w:ascii="Century Gothic" w:hAnsi="Century Gothic" w:cs="Century Gothic" w:eastAsia="Century Gothic"/>
          <w:b/>
          <w:i w:val="0"/>
          <w:sz w:val="20"/>
        </w:rPr>
        <w:t>Cuadro 2. Malla curricular del Plan de Estudios 2013</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Primer año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Segundo año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Tercer año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Cuarto año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Quinto año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CPA-101 Contabilidad Básica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CPA-201 Contabilidad Intermedia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CPA-301 Contabilidad Internacional</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CPA-401 Contabilidad Minera y Petrolera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CPA-501 Auditoría Operativa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ADM-101 Administración General</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CPA-202 Contabilidad de Sociedades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CPA-302 Contabilidad de Costos y Gestión</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CPA-402 Contabilidad Agrícola y Ganadera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CPA-502 Gabinete de Auditoría Financiera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DER-101 Derecho Comercial y Corporativo (PS)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CPA-203 Contabilidad de Tributos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CPA-303 Contabilidad de Bancos y Entidades Financieras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CPA-403 Contabilidad del Seguro Privado y Seguro Social</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CPA-503 Gabinete de Auditoría Tributaria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DER-102 Derecho Laboral y Seguridad Social (SS)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ADM-201 Administración de Sistemas Gerenciales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CPA-304 Contabilidad y Presupuestos Gubernamental</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CPA-404 Sistemas de Contabilidad Automatizados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CPA-504 Gabinete de Auditoría Gubernamental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ECO-101 Microeconomía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DER-201 Derecho Tributario y Legislación Aduanera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CPA-305 Sistemas de Información (SS)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CPA-405 Diseño e Implantación de Sistemas de Contabilidad</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CPA-505 Gabinete de Auditoría de Sistemas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MAT-101 Cálculo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ECO-201 Macroeconomía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ADM-301 Desarrollo Organizacional y Comportamiento Organizacional</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CPA-406 Finanzas y Finanzas Corporativas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CPA-506 Gabinete de Auditoría Ambiental (PS)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MAT-102 Matemáticas Financieras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MAT-201 Álgebra y Programación Lineal</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ECO-301 Preparación y Evaluación de Proyectos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CPA-407 Auditoría Financiera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CPA-507 Gabinete de Auditoría de Proyectos (PS)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CPA-102 Métodos y Técnicas de Investigación (SS)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MAT-301 Estadística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CPA-408 Auditoría Interna, Control Interno y Gestión de Riesgos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CPA-508 Gabinete de Auditoría Forense (SS)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MAT-302 Matemáticas Actuariales (PS)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CPA-509 Gabinete de Auditoría de Entidades Financieras (SS)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CPA-510 Ética Profesional (PS)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CPA-511 Seminario de Grado (SS)</w:t>
            </w:r>
          </w:p>
        </w:tc>
      </w:tr>
    </w:tbl>
    <w:p>
      <w:pPr>
        <w:spacing w:before="40" w:after="200" w:line="240" w:lineRule="auto"/>
        <w:jc w:val="left"/>
      </w:pPr>
      <w:r>
        <w:rPr>
          <w:rFonts w:ascii="Century Gothic" w:hAnsi="Century Gothic" w:cs="Century Gothic" w:eastAsia="Century Gothic"/>
          <w:b w:val="0"/>
          <w:i w:val="0"/>
          <w:sz w:val="16"/>
        </w:rPr>
        <w:t>Fuente: Plan de Estudios 2013. PS: primer semestre; SS: segundo semestre; las demás asignaturas son anuales. Todas las asignaturas tienen prerrequisitos definidos.</w:t>
      </w:r>
    </w:p>
    <w:p>
      <w:pPr>
        <w:keepNext/>
        <w:spacing w:before="40" w:after="80" w:line="240" w:lineRule="auto"/>
        <w:jc w:val="center"/>
      </w:pPr>
      <w:r>
        <w:rPr>
          <w:rFonts w:ascii="Century Gothic" w:hAnsi="Century Gothic" w:cs="Century Gothic" w:eastAsia="Century Gothic"/>
          <w:b/>
          <w:i w:val="0"/>
          <w:sz w:val="20"/>
        </w:rPr>
        <w:t>Cuadro 3. Asignaturas y carga horaria por área del Plan 2013</w:t>
      </w:r>
    </w:p>
    <w:tbl>
      <w:tblPr>
        <w:tblW w:type="auto" w:w="0"/>
        <w:jc w:val="center"/>
        <w:tblLayout w:type="fixed"/>
        <w:tblLook w:firstColumn="1" w:firstRow="1" w:lastColumn="0" w:lastRow="0" w:noHBand="0" w:noVBand="1" w:val="04A0"/>
      </w:tblPr>
      <w:tblGrid>
        <w:gridCol w:w="3175"/>
        <w:gridCol w:w="1134"/>
        <w:gridCol w:w="1020"/>
        <w:gridCol w:w="1020"/>
        <w:gridCol w:w="1020"/>
        <w:gridCol w:w="1701"/>
      </w:tblGrid>
      <w:tr>
        <w:trPr>
          <w:tblHeader/>
        </w:trPr>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Área</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Asignaturas</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 horas</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Años</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Información Financiera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16</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37,21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2.400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40,00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 a 4.°</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Servicios de Atestación y No Atestación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30,23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1.600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26,67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 y 5.°</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Subtotal troncal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29</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67,44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4.000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66,67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Administración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6,98</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480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8,00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 a 3.°</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Derecho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6,98</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320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5,33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 y 2.°</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Economía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6,98</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480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8,00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 a 3.°</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Matemáticas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11,63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720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12,00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 a 3.°</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Subtotal contextual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14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32,56</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2.000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33,33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Total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43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100,00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6.000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100,00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40" w:after="200" w:line="240" w:lineRule="auto"/>
        <w:jc w:val="left"/>
      </w:pPr>
      <w:r>
        <w:rPr>
          <w:rFonts w:ascii="Century Gothic" w:hAnsi="Century Gothic" w:cs="Century Gothic" w:eastAsia="Century Gothic"/>
          <w:b w:val="0"/>
          <w:i w:val="0"/>
          <w:sz w:val="16"/>
        </w:rPr>
        <w:t>Fuente: Plan de Estudios 2013. Porcentajes de horas recalculados.</w:t>
      </w:r>
    </w:p>
    <w:p>
      <w:pPr>
        <w:spacing w:before="0" w:after="200" w:line="240" w:lineRule="auto"/>
        <w:jc w:val="both"/>
      </w:pPr>
      <w:r>
        <w:rPr>
          <w:rFonts w:ascii="Century Gothic" w:hAnsi="Century Gothic" w:cs="Century Gothic" w:eastAsia="Century Gothic"/>
          <w:b w:val="0"/>
          <w:i w:val="0"/>
          <w:sz w:val="20"/>
        </w:rPr>
        <w:t>La estructura muestra un rasgo que condiciona el rediseño: las áreas contextuales se concentran en los tres primeros años y desaparecen en cuarto y quinto, mientras que el bloque de aseguramiento se concentra en los dos últimos años, con 11 de sus 13 asignaturas en quinto. La formación es secuencial por bloques y no integrada: el estudiante aprende matemáticas, derecho y economía antes de enfrentar los problemas profesionales en los que debería aplicarlos. El rediseño debe articular verticalmente las áreas contextuales con los problemas contables, conforme al principio de interdisciplinariedad del Artículo 12 de la Resolución HCU N.º 032/2025.</w:t>
      </w:r>
    </w:p>
    <w:p>
      <w:pPr>
        <w:spacing w:before="0" w:after="200" w:line="240" w:lineRule="auto"/>
        <w:jc w:val="both"/>
      </w:pPr>
      <w:r>
        <w:rPr>
          <w:rFonts w:ascii="Century Gothic" w:hAnsi="Century Gothic" w:cs="Century Gothic" w:eastAsia="Century Gothic"/>
          <w:b w:val="0"/>
          <w:i w:val="0"/>
          <w:sz w:val="20"/>
        </w:rPr>
        <w:t>El cuadro de carga horaria del Documento Académico 2013 consigna porcentajes que no corresponden a las horas declaradas, ya que asigna 19,18 % tanto a las 1.120 horas del segundo año como a las 1.280 horas del tercero. Recalculados sobre 6.000 horas, los porcentajes son 17,33 % para primer año, 18,67 % para segundo y 21,33 % para cada uno de los años tercero, cuarto y quinto. Además, todas las asignaturas tienen una carga horaria que no distingue el trabajo presencial y fuera del aula, en ese sentido, el rediseño debe reconstruir la matriz horaria distinguiendo horas presenciales y no presenciales, con su conversión a créditos.</w:t>
      </w:r>
    </w:p>
    <w:p>
      <w:pPr>
        <w:spacing w:before="0" w:after="200" w:line="240" w:lineRule="auto"/>
        <w:jc w:val="both"/>
      </w:pPr>
      <w:r>
        <w:rPr>
          <w:rFonts w:ascii="Century Gothic" w:hAnsi="Century Gothic" w:cs="Century Gothic" w:eastAsia="Century Gothic"/>
          <w:b w:val="0"/>
          <w:i w:val="0"/>
          <w:sz w:val="20"/>
        </w:rPr>
        <w:t>Finalmente, el Plan 2013 no regula los Cursos Intensivos de Temporada, previstos en la Resolución HCU N.º 093/06, ni la Mesa de Examen, prevista en la Resolución HCU N.º 352/2021, aunque ambas normas atribuyen a la Carrera la definición de las asignaturas habilitadas. Este vacío debe cubrirse en el nuevo plan.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3.1.2</w:t>
        <w:tab/>
      </w:r>
      <w:r>
        <w:rPr>
          <w:rFonts w:ascii="Century Gothic" w:hAnsi="Century Gothic" w:cs="Century Gothic" w:eastAsia="Century Gothic"/>
          <w:b/>
          <w:i w:val="0"/>
          <w:sz w:val="22"/>
        </w:rPr>
        <w:t>Resultados estadísticos</w:t>
      </w:r>
    </w:p>
    <w:p>
      <w:pPr>
        <w:keepNext/>
        <w:spacing w:before="40" w:after="80" w:line="240" w:lineRule="auto"/>
        <w:jc w:val="center"/>
      </w:pPr>
      <w:r>
        <w:rPr>
          <w:rFonts w:ascii="Century Gothic" w:hAnsi="Century Gothic" w:cs="Century Gothic" w:eastAsia="Century Gothic"/>
          <w:b/>
          <w:i w:val="0"/>
          <w:sz w:val="20"/>
        </w:rPr>
        <w:t>Cuadro 4. Indicadores académicos del Plan 2013</w:t>
      </w:r>
    </w:p>
    <w:tbl>
      <w:tblPr>
        <w:tblW w:type="auto" w:w="0"/>
        <w:jc w:val="center"/>
        <w:tblLayout w:type="fixed"/>
        <w:tblLook w:firstColumn="1" w:firstRow="1" w:lastColumn="0" w:lastRow="0" w:noHBand="0" w:noVBand="1" w:val="04A0"/>
      </w:tblPr>
      <w:tblGrid>
        <w:gridCol w:w="2948"/>
        <w:gridCol w:w="2835"/>
        <w:gridCol w:w="3288"/>
      </w:tblGrid>
      <w:tr>
        <w:trPr>
          <w:tblHeader/>
        </w:trPr>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Valor</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Lectura</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Matriculados e inscritos, 2025</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4.283 y 3.143</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La matrícula cayó 8,97 % desde 2021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Matrícula no activada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33,01 % en 2021 y 26,62 % en 2025</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Mejora, pero uno de cada cuatro matriculados no cursa ninguna asignatura</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Titulados 2021-2025</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1.893</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Titulación por examen de grado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69,73 %</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Evalúa conocimientos, no desempeño</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Titulación por trabajo dirigido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14,58 %</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Vínculo débil con el medio</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Titulación por proyecto de grado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1,80 %</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Vínculo débil con el medio</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Titulación por tesis de grado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0,16 %</w:t>
            </w:r>
            <w:r>
              <w:rPr>
                <w:rFonts w:ascii="Century Gothic" w:hAnsi="Century Gothic" w:cs="Century Gothic" w:eastAsia="Century Gothic"/>
                <w:b w:val="0"/>
                <w:i w:val="0"/>
                <w:sz w:val="20"/>
              </w:rPr>
              <w:t>, 3 en cinco años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Investigación de pregrado prácticamente inexistente</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Estudiantes por paralelo, 2026</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106</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Incompatible con la evaluación por competencias</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Cargas horarias de tiempo completo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 de 108, el 1,85 %</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Pirámide de dedicación invertida</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Docentes interinos e invitados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53,55 %; 73,33 % en el área de Atestación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Inestabilidad en el área de mayor innovación</w:t>
            </w:r>
          </w:p>
        </w:tc>
      </w:tr>
    </w:tbl>
    <w:p>
      <w:pPr>
        <w:spacing w:before="40" w:after="200" w:line="240" w:lineRule="auto"/>
        <w:jc w:val="left"/>
      </w:pPr>
      <w:r>
        <w:rPr>
          <w:rFonts w:ascii="Century Gothic" w:hAnsi="Century Gothic" w:cs="Century Gothic" w:eastAsia="Century Gothic"/>
          <w:b w:val="0"/>
          <w:i w:val="0"/>
          <w:sz w:val="16"/>
        </w:rPr>
        <w:t>Fuente: Diagnóstico de la Carrera de Contaduría Pública, 2026, con datos de la DSIE, el Centro de Cómputo y el Reporte de Personal Docente.</w:t>
      </w:r>
    </w:p>
    <w:p>
      <w:pPr>
        <w:keepNext/>
        <w:spacing w:before="40" w:after="80" w:line="240" w:lineRule="auto"/>
        <w:jc w:val="center"/>
      </w:pPr>
      <w:r>
        <w:rPr>
          <w:rFonts w:ascii="Century Gothic" w:hAnsi="Century Gothic" w:cs="Century Gothic" w:eastAsia="Century Gothic"/>
          <w:b/>
          <w:i w:val="0"/>
          <w:sz w:val="20"/>
        </w:rPr>
        <w:t>Cuadro 5. Matrícula e inscripción estudiantil, 2021-2025</w:t>
      </w:r>
    </w:p>
    <w:tbl>
      <w:tblPr>
        <w:tblW w:type="auto" w:w="0"/>
        <w:jc w:val="center"/>
        <w:tblLayout w:type="fixed"/>
        <w:tblLook w:firstColumn="1" w:firstRow="1" w:lastColumn="0" w:lastRow="0" w:noHBand="0" w:noVBand="1" w:val="04A0"/>
      </w:tblPr>
      <w:tblGrid>
        <w:gridCol w:w="2835"/>
        <w:gridCol w:w="1247"/>
        <w:gridCol w:w="1247"/>
        <w:gridCol w:w="1247"/>
        <w:gridCol w:w="1247"/>
        <w:gridCol w:w="1247"/>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2021</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2022</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Matriculados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4.705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4.546</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4.447</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4.365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4.283</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Inscritos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3.152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3.231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3.214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3.182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3.143</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Matrícula no activada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1.553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1.315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1.233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1.183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1.140</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 de activación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66,99</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71,07</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72,27</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72,90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73,38</w:t>
            </w:r>
          </w:p>
        </w:tc>
      </w:tr>
    </w:tbl>
    <w:p>
      <w:pPr>
        <w:spacing w:before="40" w:after="200" w:line="240" w:lineRule="auto"/>
        <w:jc w:val="left"/>
      </w:pPr>
      <w:r>
        <w:rPr>
          <w:rFonts w:ascii="Century Gothic" w:hAnsi="Century Gothic" w:cs="Century Gothic" w:eastAsia="Century Gothic"/>
          <w:b w:val="0"/>
          <w:i w:val="0"/>
          <w:sz w:val="16"/>
        </w:rPr>
        <w:t>Fuente: Sistema de Registro Universitario y Sistema de Seguimiento Académico. Porcentajes calculados.</w:t>
      </w:r>
    </w:p>
    <w:p>
      <w:pPr>
        <w:keepNext/>
        <w:spacing w:before="40" w:after="80" w:line="240" w:lineRule="auto"/>
        <w:jc w:val="center"/>
      </w:pPr>
      <w:r>
        <w:rPr>
          <w:rFonts w:ascii="Century Gothic" w:hAnsi="Century Gothic" w:cs="Century Gothic" w:eastAsia="Century Gothic"/>
          <w:b/>
          <w:i w:val="0"/>
          <w:sz w:val="20"/>
        </w:rPr>
        <w:t>Cuadro 6. Titulados por modalidad de graduación, 2021-2025</w:t>
      </w:r>
    </w:p>
    <w:tbl>
      <w:tblPr>
        <w:tblW w:type="auto" w:w="0"/>
        <w:jc w:val="center"/>
        <w:tblLayout w:type="fixed"/>
        <w:tblLook w:firstColumn="1" w:firstRow="1" w:lastColumn="0" w:lastRow="0" w:noHBand="0" w:noVBand="1" w:val="04A0"/>
      </w:tblPr>
      <w:tblGrid>
        <w:gridCol w:w="2494"/>
        <w:gridCol w:w="850"/>
        <w:gridCol w:w="850"/>
        <w:gridCol w:w="850"/>
        <w:gridCol w:w="850"/>
        <w:gridCol w:w="850"/>
        <w:gridCol w:w="964"/>
        <w:gridCol w:w="964"/>
      </w:tblGrid>
      <w:tr>
        <w:trPr>
          <w:tblHeader/>
        </w:trPr>
        <w:tc>
          <w:tcPr>
            <w:tcW w:type="dxa" w:w="24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Modalidad</w:t>
            </w:r>
          </w:p>
        </w:tc>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2021</w:t>
            </w:r>
          </w:p>
        </w:tc>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2022</w:t>
            </w:r>
          </w:p>
        </w:tc>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Total</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Tesis de grado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0,16</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Proyecto de grado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34</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1,80</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Trabajo dirigido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53</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276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14,58</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Examen de grado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345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392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180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215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188</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1.320</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69,73</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Excelencia académica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148</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7,82</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Memoria laboral</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1,16</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Módulo de actualización</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90</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4,75</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Total</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441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523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302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353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274</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1.893</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100,00</w:t>
            </w:r>
          </w:p>
        </w:tc>
      </w:tr>
    </w:tbl>
    <w:p>
      <w:pPr>
        <w:spacing w:before="40" w:after="200" w:line="240" w:lineRule="auto"/>
        <w:jc w:val="left"/>
      </w:pPr>
      <w:r>
        <w:rPr>
          <w:rFonts w:ascii="Century Gothic" w:hAnsi="Century Gothic" w:cs="Century Gothic" w:eastAsia="Century Gothic"/>
          <w:b w:val="0"/>
          <w:i w:val="0"/>
          <w:sz w:val="16"/>
        </w:rPr>
        <w:t>Fuente: División de Sistemas de Información y Estadística, UMSA. Porcentajes calculados.</w:t>
      </w:r>
    </w:p>
    <w:p>
      <w:pPr>
        <w:spacing w:before="0" w:after="200" w:line="240" w:lineRule="auto"/>
        <w:jc w:val="both"/>
      </w:pPr>
      <w:r>
        <w:rPr>
          <w:rFonts w:ascii="Century Gothic" w:hAnsi="Century Gothic" w:cs="Century Gothic" w:eastAsia="Century Gothic"/>
          <w:b w:val="0"/>
          <w:i w:val="0"/>
          <w:sz w:val="20"/>
        </w:rPr>
        <w:t>La titulación se concentra en el examen de grado, que representa siete de cada diez titulados del periodo. El trabajo dirigido, la modalidad con mayor componente de práctica real, alcanza apenas el 14,58 %, y la tesis de grado registra solo tres casos en cinco años. El diagnóstico de la Carrera atribuye esta situación a la falta de convenios interinstitucionales, es decir, a la misma carencia de vinculación con el medio que los egresados señalan en la encuesta.</w:t>
      </w:r>
    </w:p>
    <w:p>
      <w:pPr>
        <w:keepNext/>
        <w:spacing w:before="40" w:after="80" w:line="240" w:lineRule="auto"/>
        <w:jc w:val="center"/>
      </w:pPr>
      <w:r>
        <w:rPr>
          <w:rFonts w:ascii="Century Gothic" w:hAnsi="Century Gothic" w:cs="Century Gothic" w:eastAsia="Century Gothic"/>
          <w:b/>
          <w:i w:val="0"/>
          <w:sz w:val="20"/>
        </w:rPr>
        <w:t>Cuadro 7. Cargas horarias docentes por dedicación, 2026</w:t>
      </w:r>
    </w:p>
    <w:tbl>
      <w:tblPr>
        <w:tblW w:type="auto" w:w="0"/>
        <w:jc w:val="center"/>
        <w:tblLayout w:type="fixed"/>
        <w:tblLook w:firstColumn="1" w:firstRow="1" w:lastColumn="0" w:lastRow="0" w:noHBand="0" w:noVBand="1" w:val="04A0"/>
      </w:tblPr>
      <w:tblGrid>
        <w:gridCol w:w="3969"/>
        <w:gridCol w:w="1701"/>
        <w:gridCol w:w="1701"/>
      </w:tblGrid>
      <w:tr>
        <w:trPr>
          <w:tblHeader/>
        </w:trPr>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Carga horaria mensual</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Cargas</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160 horas, tiempo completo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1,85</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128 horas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7,41</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96 horas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7,41</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64 horas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25,00</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32 horas, carga mínima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58,33</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Total</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108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100,00</w:t>
            </w:r>
          </w:p>
        </w:tc>
      </w:tr>
    </w:tbl>
    <w:p>
      <w:pPr>
        <w:spacing w:before="40" w:after="200" w:line="240" w:lineRule="auto"/>
        <w:jc w:val="left"/>
      </w:pPr>
      <w:r>
        <w:rPr>
          <w:rFonts w:ascii="Century Gothic" w:hAnsi="Century Gothic" w:cs="Century Gothic" w:eastAsia="Century Gothic"/>
          <w:b w:val="0"/>
          <w:i w:val="0"/>
          <w:sz w:val="16"/>
        </w:rPr>
        <w:t>Fuente: Reporte de Personal Docente, Diagnóstico de la Carrera de Contaduría Pública, 2026. Las 108 cargas corresponden a 82 docentes, porque algunos dictan en más de un área.</w:t>
      </w:r>
    </w:p>
    <w:p>
      <w:pPr>
        <w:spacing w:before="0" w:after="200" w:line="240" w:lineRule="auto"/>
        <w:jc w:val="both"/>
      </w:pPr>
      <w:r>
        <w:rPr>
          <w:rFonts w:ascii="Century Gothic" w:hAnsi="Century Gothic" w:cs="Century Gothic" w:eastAsia="Century Gothic"/>
          <w:b w:val="0"/>
          <w:i w:val="0"/>
          <w:sz w:val="20"/>
        </w:rPr>
        <w:t>Un modelo por competencias exige tutoría, diseño y corrección de evidencias de desempeño y supervisión de prácticas. Con menos de dos de cada cien cargas a tiempo completo en la actualidad y casi seis de cada diez con la carga mínima, la estructura de dedicación es incompatible con ese modelo y su corrección debe tratarse como una condición de implementación.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3.1.3</w:t>
        <w:tab/>
      </w:r>
      <w:r>
        <w:rPr>
          <w:rFonts w:ascii="Century Gothic" w:hAnsi="Century Gothic" w:cs="Century Gothic" w:eastAsia="Century Gothic"/>
          <w:b/>
          <w:i w:val="0"/>
          <w:sz w:val="22"/>
        </w:rPr>
        <w:t>Resultados cualitativos: la percepción de los egresados</w:t>
      </w:r>
    </w:p>
    <w:p>
      <w:pPr>
        <w:spacing w:before="0" w:after="200" w:line="240" w:lineRule="auto"/>
        <w:jc w:val="both"/>
      </w:pPr>
      <w:r>
        <w:rPr>
          <w:rFonts w:ascii="Century Gothic" w:hAnsi="Century Gothic" w:cs="Century Gothic" w:eastAsia="Century Gothic"/>
          <w:b w:val="0"/>
          <w:i w:val="0"/>
          <w:sz w:val="20"/>
        </w:rPr>
        <w:t>El estudio de Ipsos CIESMORI de diciembre de 2025, aplicado a 160 egresados de Contaduría Pública con entre cuatro y diez años de egreso, permite valorar el plan desde quienes lo cursaron:</w:t>
      </w:r>
    </w:p>
    <w:p>
      <w:pPr>
        <w:numPr>
          <w:ilvl w:val="0"/>
          <w:numId w:val="902"/>
        </w:numPr>
        <w:spacing w:before="0" w:after="160" w:line="240" w:lineRule="auto"/>
        <w:jc w:val="both"/>
      </w:pPr>
      <w:r>
        <w:rPr>
          <w:rFonts w:ascii="Century Gothic" w:hAnsi="Century Gothic" w:cs="Century Gothic" w:eastAsia="Century Gothic"/>
          <w:b/>
          <w:i w:val="0"/>
          <w:sz w:val="20"/>
        </w:rPr>
        <w:t>Fortaleza: el núcleo contable y normativo.</w:t>
      </w:r>
      <w:r>
        <w:rPr>
          <w:rFonts w:ascii="Century Gothic" w:hAnsi="Century Gothic" w:cs="Century Gothic" w:eastAsia="Century Gothic"/>
          <w:b w:val="0"/>
          <w:i w:val="0"/>
          <w:sz w:val="20"/>
        </w:rPr>
        <w:t xml:space="preserve"> Contabilidad Básica es la asignatura más pertinente, con el 65 %, seguida de Contabilidad de Tributos, con el 27 %, y Gabinete de Auditoría Financiera, con el 24 %. Las NIIF y las normas de auditoría se recuerdan como enseñadas con alta frecuencia, con el 51 % y el 52 %. Contaduría Pública es, además, la carrera de la Facultad con mayor proporción de egresados que ejerce, el 63 %, frente al 57 % en Administración de Empresas y el 49 % en Economía.</w:t>
      </w:r>
    </w:p>
    <w:p>
      <w:pPr>
        <w:numPr>
          <w:ilvl w:val="0"/>
          <w:numId w:val="902"/>
        </w:numPr>
        <w:spacing w:before="0" w:after="160" w:line="240" w:lineRule="auto"/>
        <w:jc w:val="both"/>
      </w:pPr>
      <w:r>
        <w:rPr>
          <w:rFonts w:ascii="Century Gothic" w:hAnsi="Century Gothic" w:cs="Century Gothic" w:eastAsia="Century Gothic"/>
          <w:b/>
          <w:i w:val="0"/>
          <w:sz w:val="20"/>
        </w:rPr>
        <w:t>Debilidad principal: los saberes tecnológicos aplicados.</w:t>
      </w:r>
      <w:r>
        <w:rPr>
          <w:rFonts w:ascii="Century Gothic" w:hAnsi="Century Gothic" w:cs="Century Gothic" w:eastAsia="Century Gothic"/>
          <w:b w:val="0"/>
          <w:i w:val="0"/>
          <w:sz w:val="20"/>
        </w:rPr>
        <w:t xml:space="preserve"> El 75 % señala como necesaria la formación en software contable y tributario, sistemas de planificación de recursos empresariales y análisis de datos; solo el 5 % la recibió con frecuencia y el 60 % casi nunca.</w:t>
      </w:r>
    </w:p>
    <w:p>
      <w:pPr>
        <w:numPr>
          <w:ilvl w:val="0"/>
          <w:numId w:val="902"/>
        </w:numPr>
        <w:spacing w:before="0" w:after="160" w:line="240" w:lineRule="auto"/>
        <w:jc w:val="both"/>
      </w:pPr>
      <w:r>
        <w:rPr>
          <w:rFonts w:ascii="Century Gothic" w:hAnsi="Century Gothic" w:cs="Century Gothic" w:eastAsia="Century Gothic"/>
          <w:b/>
          <w:i w:val="0"/>
          <w:sz w:val="20"/>
        </w:rPr>
        <w:t>Debilidades complementarias:</w:t>
      </w:r>
      <w:r>
        <w:rPr>
          <w:rFonts w:ascii="Century Gothic" w:hAnsi="Century Gothic" w:cs="Century Gothic" w:eastAsia="Century Gothic"/>
          <w:b w:val="0"/>
          <w:i w:val="0"/>
          <w:sz w:val="20"/>
        </w:rPr>
        <w:t xml:space="preserve"> la práctica de auditoría, con el 44 % de baja frecuencia de enseñanza; los papeles de trabajo y las simulaciones, con el 39 %; y saberes actitudinales como la adaptabilidad, con el 70 %, y la actitud emprendedora, con el 55 %.</w:t>
      </w:r>
    </w:p>
    <w:p>
      <w:pPr>
        <w:numPr>
          <w:ilvl w:val="0"/>
          <w:numId w:val="902"/>
        </w:numPr>
        <w:spacing w:before="0" w:after="200" w:line="240" w:lineRule="auto"/>
        <w:jc w:val="both"/>
      </w:pPr>
      <w:r>
        <w:rPr>
          <w:rFonts w:ascii="Century Gothic" w:hAnsi="Century Gothic" w:cs="Century Gothic" w:eastAsia="Century Gothic"/>
          <w:b/>
          <w:i w:val="0"/>
          <w:sz w:val="20"/>
        </w:rPr>
        <w:t>Valoración global moderada:</w:t>
      </w:r>
      <w:r>
        <w:rPr>
          <w:rFonts w:ascii="Century Gothic" w:hAnsi="Century Gothic" w:cs="Century Gothic" w:eastAsia="Century Gothic"/>
          <w:b w:val="0"/>
          <w:i w:val="0"/>
          <w:sz w:val="20"/>
        </w:rPr>
        <w:t xml:space="preserve"> el 62 % aprueba la preparación del plantel docente y el 54 % considera el plan adecuado al mercado, pero solo el 42 % se siente preparado gracias a su formación y el mismo 42 % cree que la UMSA facilita la práctica en contextos reales.</w:t>
      </w:r>
    </w:p>
    <w:p>
      <w:pPr>
        <w:keepNext/>
        <w:spacing w:before="40" w:after="80" w:line="240" w:lineRule="auto"/>
        <w:jc w:val="center"/>
      </w:pPr>
      <w:r>
        <w:rPr>
          <w:rFonts w:ascii="Century Gothic" w:hAnsi="Century Gothic" w:cs="Century Gothic" w:eastAsia="Century Gothic"/>
          <w:b/>
          <w:i w:val="0"/>
          <w:sz w:val="20"/>
        </w:rPr>
        <w:t>Cuadro 8. Competencias específicas: demanda de los egresados y frecuencia de enseñanza</w:t>
      </w:r>
    </w:p>
    <w:tbl>
      <w:tblPr>
        <w:tblW w:type="auto" w:w="0"/>
        <w:jc w:val="center"/>
        <w:tblLayout w:type="fixed"/>
        <w:tblLook w:firstColumn="1" w:firstRow="1" w:lastColumn="0" w:lastRow="0" w:noHBand="0" w:noVBand="1" w:val="04A0"/>
      </w:tblPr>
      <w:tblGrid>
        <w:gridCol w:w="3969"/>
        <w:gridCol w:w="1701"/>
        <w:gridCol w:w="1701"/>
        <w:gridCol w:w="1701"/>
      </w:tblGrid>
      <w:tr>
        <w:trPr>
          <w:tblHeader/>
        </w:trPr>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Competencia o saber</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La señalan como necesaria</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Enseñada con alta frecuencia</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Enseñada con baja frecuencia</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Software contable y tributario, sistemas de gestión empresarial y análisis de datos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75 %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60 %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Sistemas contables, software financiero y plataformas tributarias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56 %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11 %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55 %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Principios de contabilidad y NIIF</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50 %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51 %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18 %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Tributación práctica y normativa contable y fiscal</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42 %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36 %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22 %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Contabilidad financiera, pública, de costos y estados financieros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46 %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14 %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Papeles de trabajo, técnicas de auditoría y simulaciones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28 %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16 %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39 %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financiera, operativa e interna y control interno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24 %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25 %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44 %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Normas de auditoría y fundamentos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23 %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52 %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16 %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Adaptabilidad y aplicación práctica del conocimiento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15 %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70 %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Actitud emprendedora y vinculación con empresas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11 %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55 %</w:t>
            </w:r>
          </w:p>
        </w:tc>
      </w:tr>
    </w:tbl>
    <w:p>
      <w:pPr>
        <w:spacing w:before="40" w:after="200" w:line="240" w:lineRule="auto"/>
        <w:jc w:val="left"/>
      </w:pPr>
      <w:r>
        <w:rPr>
          <w:rFonts w:ascii="Century Gothic" w:hAnsi="Century Gothic" w:cs="Century Gothic" w:eastAsia="Century Gothic"/>
          <w:b w:val="0"/>
          <w:i w:val="0"/>
          <w:sz w:val="16"/>
        </w:rPr>
        <w:t>Fuente: Ipsos CIESMORI (2025), láminas 41 a 44. Menciones espontáneas, con bases de 102 a 135 casos.</w:t>
      </w:r>
    </w:p>
    <w:p>
      <w:pPr>
        <w:keepNext/>
        <w:spacing w:before="40" w:after="80" w:line="240" w:lineRule="auto"/>
        <w:jc w:val="center"/>
      </w:pPr>
      <w:r>
        <w:rPr>
          <w:rFonts w:ascii="Century Gothic" w:hAnsi="Century Gothic" w:cs="Century Gothic" w:eastAsia="Century Gothic"/>
          <w:b/>
          <w:i w:val="0"/>
          <w:sz w:val="20"/>
        </w:rPr>
        <w:t>Cuadro 9. Valoración global de la formación por los egresados</w:t>
      </w:r>
    </w:p>
    <w:tbl>
      <w:tblPr>
        <w:tblW w:type="auto" w:w="0"/>
        <w:jc w:val="center"/>
        <w:tblLayout w:type="fixed"/>
        <w:tblLook w:firstColumn="1" w:firstRow="1" w:lastColumn="0" w:lastRow="0" w:noHBand="0" w:noVBand="1" w:val="04A0"/>
      </w:tblPr>
      <w:tblGrid>
        <w:gridCol w:w="4819"/>
        <w:gridCol w:w="1417"/>
        <w:gridCol w:w="1417"/>
        <w:gridCol w:w="1417"/>
      </w:tblGrid>
      <w:tr>
        <w:trPr>
          <w:tblHeader/>
        </w:trPr>
        <w:tc>
          <w:tcPr>
            <w:tcW w:type="dxa" w:w="481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Afirmación</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 acuerdo</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Neutral</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En desacuerdo</w:t>
            </w:r>
          </w:p>
        </w:tc>
      </w:tr>
      <w:tr>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El plantel docente está preparado para enseñar lo necesario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62 %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24 %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14 %</w:t>
            </w:r>
          </w:p>
        </w:tc>
      </w:tr>
      <w:tr>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El plan está diseñado para afrontar las demandas del mercado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54 %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29 %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16 %</w:t>
            </w:r>
          </w:p>
        </w:tc>
      </w:tr>
      <w:tr>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Los egresados de la UMSA tienen ventaja competitiva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45 %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33 %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22 %</w:t>
            </w:r>
          </w:p>
        </w:tc>
      </w:tr>
      <w:tr>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La universidad enseña tecnología actual útil para el trabajo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43 %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42 %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15 %</w:t>
            </w:r>
          </w:p>
        </w:tc>
      </w:tr>
      <w:tr>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Me siento preparado gracias a mi formación en la UMSA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42 %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38 %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20 %</w:t>
            </w:r>
          </w:p>
        </w:tc>
      </w:tr>
      <w:tr>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La universidad facilita la práctica en contextos reales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42 %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32 %</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26 %</w:t>
            </w:r>
          </w:p>
        </w:tc>
      </w:tr>
    </w:tbl>
    <w:p>
      <w:pPr>
        <w:spacing w:before="40" w:after="200" w:line="240" w:lineRule="auto"/>
        <w:jc w:val="left"/>
      </w:pPr>
      <w:r>
        <w:rPr>
          <w:rFonts w:ascii="Century Gothic" w:hAnsi="Century Gothic" w:cs="Century Gothic" w:eastAsia="Century Gothic"/>
          <w:b w:val="0"/>
          <w:i w:val="0"/>
          <w:sz w:val="16"/>
        </w:rPr>
        <w:t>Fuente: Ipsos CIESMORI (2025), láminas 59 a 65.</w:t>
      </w:r>
    </w:p>
    <w:p>
      <w:pPr>
        <w:spacing w:before="0" w:after="200" w:line="240" w:lineRule="auto"/>
        <w:jc w:val="both"/>
      </w:pPr>
      <w:r>
        <w:rPr>
          <w:rFonts w:ascii="Century Gothic" w:hAnsi="Century Gothic" w:cs="Century Gothic" w:eastAsia="Century Gothic"/>
          <w:b w:val="0"/>
          <w:i w:val="0"/>
          <w:sz w:val="20"/>
        </w:rPr>
        <w:t>La lectura conjunta de ambos cuadros es consistente: lo que la Carrera enseña con frecuencia, como el núcleo contable, las NIIF y las normas de auditoría, es lo que los egresados valoran; lo que enseña poco, como las herramientas tecnológicas, la práctica y las actitudes, es lo que más les faltó. Esta convergencia permite definir qué conservar y qué transformar:</w:t>
      </w:r>
    </w:p>
    <w:p>
      <w:pPr>
        <w:keepNext/>
        <w:spacing w:before="40" w:after="80" w:line="240" w:lineRule="auto"/>
        <w:jc w:val="center"/>
      </w:pPr>
      <w:r>
        <w:rPr>
          <w:rFonts w:ascii="Century Gothic" w:hAnsi="Century Gothic" w:cs="Century Gothic" w:eastAsia="Century Gothic"/>
          <w:b/>
          <w:i w:val="0"/>
          <w:sz w:val="20"/>
        </w:rPr>
        <w:t>Cuadro 10. Tratamiento previsto de los componentes del Plan 2013</w:t>
      </w:r>
    </w:p>
    <w:tbl>
      <w:tblPr>
        <w:tblW w:type="auto" w:w="0"/>
        <w:jc w:val="center"/>
        <w:tblLayout w:type="fixed"/>
        <w:tblLook w:firstColumn="1" w:firstRow="1" w:lastColumn="0" w:lastRow="0" w:noHBand="0" w:noVBand="1" w:val="04A0"/>
      </w:tblPr>
      <w:tblGrid>
        <w:gridCol w:w="1701"/>
        <w:gridCol w:w="4252"/>
        <w:gridCol w:w="3118"/>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Tratamiento</w:t>
            </w:r>
          </w:p>
        </w:tc>
        <w:tc>
          <w:tcPr>
            <w:tcW w:type="dxa" w:w="42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Componentes</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Fundamento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Se conserva y actualiza</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Núcleo de Información Financiera; gabinetes de auditoría; áreas de Administración, Derecho y Economía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Alta pertinencia y frecuencia de enseñanza</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Se reorienta</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Matemáticas, es decir Cálculo, Álgebra y Programación Lineales, Matemáticas Actuariales y Estadística, hacia matemática financiera, estadística y analítica aplicada; Sistemas, CPA-305, 404 y 405, hacia sistemas de gestión empresarial, gobernanza de datos e inteligencia artificial aplicada; Seminario de Grado, CPA-511, hacia la tutoría de titulación</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Estudio de mercado laboral de Ipsos CIESMORI (2025) y encuesta propia de la Carrera</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Se transversaliza</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Ética profesional, hoy concentrada en CPA-510 al final del plan; competencias tecnológicas; comunicación y liderazgo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4; Código del IESBA; brechas de 37 a 40 puntos en competencias de conducción</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Se incorpora</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Información y aseguramiento de sostenibilidad; prácticas preprofesionales; inglés técnico contable; analítica de datos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CTNAC N.º 01/2024; Artículo 8 de la Resolución HCU N.º 032/2025; demanda estudiantil y laboral</w:t>
            </w:r>
          </w:p>
        </w:tc>
      </w:tr>
    </w:tbl>
    <w:p>
      <w:pPr>
        <w:spacing w:before="40" w:after="200" w:line="240" w:lineRule="auto"/>
        <w:jc w:val="left"/>
      </w:pPr>
      <w:r>
        <w:rPr>
          <w:rFonts w:ascii="Century Gothic" w:hAnsi="Century Gothic" w:cs="Century Gothic" w:eastAsia="Century Gothic"/>
          <w:b w:val="0"/>
          <w:i w:val="0"/>
          <w:sz w:val="16"/>
        </w:rPr>
        <w:t>Fuente: Diagnóstico de la Carrera 2026, malla del Plan de Estudios 2013 e Ipsos CIESMORI (2025).</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3.2</w:t>
        <w:tab/>
      </w:r>
      <w:r>
        <w:rPr>
          <w:rFonts w:ascii="Century Gothic" w:hAnsi="Century Gothic" w:cs="Century Gothic" w:eastAsia="Century Gothic"/>
          <w:b/>
          <w:i w:val="0"/>
          <w:sz w:val="24"/>
        </w:rPr>
        <w:t>Análisis de las políticas y normas (internacionales, nacionales y universitarias)</w:t>
      </w:r>
    </w:p>
    <w:p>
      <w:pPr>
        <w:spacing w:before="0" w:after="200" w:line="240" w:lineRule="auto"/>
        <w:jc w:val="both"/>
      </w:pPr>
      <w:r>
        <w:rPr>
          <w:rFonts w:ascii="Century Gothic" w:hAnsi="Century Gothic" w:cs="Century Gothic" w:eastAsia="Century Gothic"/>
          <w:b w:val="0"/>
          <w:i w:val="0"/>
          <w:sz w:val="20"/>
        </w:rPr>
        <w:t>El análisis normativo se organiza indicando, para cada norma, su implicancia curricular: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3.2.1</w:t>
        <w:tab/>
      </w:r>
      <w:r>
        <w:rPr>
          <w:rFonts w:ascii="Century Gothic" w:hAnsi="Century Gothic" w:cs="Century Gothic" w:eastAsia="Century Gothic"/>
          <w:b/>
          <w:i w:val="0"/>
          <w:sz w:val="22"/>
        </w:rPr>
        <w:t>Normativa universitaria y procedimiento del rediseño</w:t>
      </w:r>
    </w:p>
    <w:p>
      <w:pPr>
        <w:keepNext/>
        <w:spacing w:before="40" w:after="80" w:line="240" w:lineRule="auto"/>
        <w:jc w:val="center"/>
      </w:pPr>
      <w:r>
        <w:rPr>
          <w:rFonts w:ascii="Century Gothic" w:hAnsi="Century Gothic" w:cs="Century Gothic" w:eastAsia="Century Gothic"/>
          <w:b/>
          <w:i w:val="0"/>
          <w:sz w:val="20"/>
        </w:rPr>
        <w:t>Cuadro 11. Base normativa universitaria</w:t>
      </w:r>
    </w:p>
    <w:tbl>
      <w:tblPr>
        <w:tblW w:type="auto" w:w="0"/>
        <w:jc w:val="center"/>
        <w:tblLayout w:type="fixed"/>
        <w:tblLook w:firstColumn="1" w:firstRow="1" w:lastColumn="0" w:lastRow="0" w:noHBand="0" w:noVBand="1" w:val="04A0"/>
      </w:tblPr>
      <w:tblGrid>
        <w:gridCol w:w="2551"/>
        <w:gridCol w:w="4252"/>
        <w:gridCol w:w="2268"/>
      </w:tblGrid>
      <w:tr>
        <w:trPr>
          <w:tblHeader/>
        </w:trPr>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Norma</w:t>
            </w:r>
          </w:p>
        </w:tc>
        <w:tc>
          <w:tcPr>
            <w:tcW w:type="dxa" w:w="42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Disposición relevante</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Implicancia</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HCU N.º 032/2025, Reglamento de Innovación Curricular de la UMSA</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Artículo 5: rediseño obligatorio cada siete años, que implica reformular el perfil de egreso. Artículo 6: el ajuste no puede afectar el perfil ni la estructura curricular. Artículo 8: mapa de competencias y prácticas preprofesionales. Artículo 11: criterios de pertinencia, relación con el mundo laboral, transferibilidad y articulación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Fundamenta la obligatoriedad y el nivel de rediseño</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Norma de Innovación Curricular del Sistema de la Universidad Boliviana</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El rediseño comprende cambios estructurales en el currículo y se realiza cada diez años o antes por necesidad</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Plazo igualmente vencido</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Reglamento General de Títulos y Grados, XI Congreso Nacional de Universidades, 2009</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Artículo 28: máximo de 6.000 horas en licenciatura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Rediseño por redistribución, no por adición</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III-XIII Reunión Sectorial de las Carreras de Contaduría Pública, mayo de 2024, y Resolución N.º 07/2024 de la VI Conferencia Nacional Ordinaria de Universidades</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Perfil del Contador Público Autorizado para el Sistema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Cambio del perfil de egreso</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highlight w:val="yellow"/>
              </w:rPr>
              <w:t>Plan Estratégico Institucional de la UMSA con visión al 2030</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highlight w:val="yellow"/>
              </w:rPr>
              <w:t>Formación de excelencia, investigación vinculada a la demanda social, interacción social, calidad de la gestión y meta de acreditación internacional</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highlight w:val="yellow"/>
              </w:rPr>
              <w:t>El rediseño es condición para la acreditación</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El procedimiento del rediseño se activó en la gestión 2026 mediante las siguientes resoluciones:</w:t>
      </w:r>
    </w:p>
    <w:p>
      <w:pPr>
        <w:numPr>
          <w:ilvl w:val="0"/>
          <w:numId w:val="903"/>
        </w:numPr>
        <w:spacing w:before="0" w:after="160" w:line="240" w:lineRule="auto"/>
        <w:jc w:val="both"/>
      </w:pPr>
      <w:r>
        <w:rPr>
          <w:rFonts w:ascii="Century Gothic" w:hAnsi="Century Gothic" w:cs="Century Gothic" w:eastAsia="Century Gothic"/>
          <w:b/>
          <w:i w:val="0"/>
          <w:sz w:val="20"/>
        </w:rPr>
        <w:t>Diagnóstico y declaratoria de necesidad.</w:t>
      </w:r>
      <w:r>
        <w:rPr>
          <w:rFonts w:ascii="Century Gothic" w:hAnsi="Century Gothic" w:cs="Century Gothic" w:eastAsia="Century Gothic"/>
          <w:b w:val="0"/>
          <w:i w:val="0"/>
          <w:sz w:val="20"/>
        </w:rPr>
        <w:t xml:space="preserve"> La Resolución HCF N.º 1057/2026, de 25 de agosto de 2026, aprobó el Diagnóstico de la Carrera como documento base y la Declaratoria de Necesidad de Rediseño Curricular, en concordancia con los Artículos 5 y 15 de la Resolución HCU N.º 032/2025, y autorizó la convocatoria a la Asamblea Docente Estudiantil para el 4 de septiembre de 2026, con el fin de elegir a la Comisión Académica.</w:t>
      </w:r>
    </w:p>
    <w:p>
      <w:pPr>
        <w:numPr>
          <w:ilvl w:val="0"/>
          <w:numId w:val="903"/>
        </w:numPr>
        <w:spacing w:before="0" w:after="200" w:line="240" w:lineRule="auto"/>
        <w:jc w:val="both"/>
      </w:pPr>
      <w:r>
        <w:rPr>
          <w:rFonts w:ascii="Century Gothic" w:hAnsi="Century Gothic" w:cs="Century Gothic" w:eastAsia="Century Gothic"/>
          <w:b/>
          <w:i w:val="0"/>
          <w:sz w:val="20"/>
        </w:rPr>
        <w:t>Conformación de la Comisión Académica.</w:t>
      </w:r>
      <w:r>
        <w:rPr>
          <w:rFonts w:ascii="Century Gothic" w:hAnsi="Century Gothic" w:cs="Century Gothic" w:eastAsia="Century Gothic"/>
          <w:b w:val="0"/>
          <w:i w:val="0"/>
          <w:sz w:val="20"/>
        </w:rPr>
        <w:t xml:space="preserve"> La Resolución HCF N.º 1126/2026, de 10 de septiembre de 2026, aprobó la conformación de la Comisión Académica para el Rediseño Curricular, integrada por el Director de Carrera, cinco docentes y cinco estudiantes, y dispuso el inicio formal del proyecto curricular.</w:t>
      </w:r>
    </w:p>
    <w:p>
      <w:pPr>
        <w:spacing w:before="0" w:after="200" w:line="240" w:lineRule="auto"/>
        <w:jc w:val="both"/>
      </w:pPr>
      <w:r>
        <w:rPr>
          <w:rFonts w:ascii="Century Gothic" w:hAnsi="Century Gothic" w:cs="Century Gothic" w:eastAsia="Century Gothic"/>
          <w:b w:val="0"/>
          <w:i w:val="0"/>
          <w:sz w:val="20"/>
        </w:rPr>
        <w:t>El Artículo 11 de la Resolución HCU N.º 032/2025 fija los criterios generales con los que Secretaría Académica evaluará el plan antes de su aprobación. El rediseño responde a cada uno de ellos:</w:t>
      </w:r>
    </w:p>
    <w:p>
      <w:pPr>
        <w:keepNext/>
        <w:spacing w:before="40" w:after="80" w:line="240" w:lineRule="auto"/>
        <w:jc w:val="center"/>
      </w:pPr>
      <w:r>
        <w:rPr>
          <w:rFonts w:ascii="Century Gothic" w:hAnsi="Century Gothic" w:cs="Century Gothic" w:eastAsia="Century Gothic"/>
          <w:b/>
          <w:i w:val="0"/>
          <w:sz w:val="20"/>
        </w:rPr>
        <w:t>Cuadro 12. Criterios de calidad del Artículo 11 y respuesta del rediseño</w:t>
      </w:r>
    </w:p>
    <w:tbl>
      <w:tblPr>
        <w:tblW w:type="auto" w:w="0"/>
        <w:jc w:val="center"/>
        <w:tblLayout w:type="fixed"/>
        <w:tblLook w:firstColumn="1" w:firstRow="1" w:lastColumn="0" w:lastRow="0" w:noHBand="0" w:noVBand="1" w:val="04A0"/>
      </w:tblPr>
      <w:tblGrid>
        <w:gridCol w:w="1814"/>
        <w:gridCol w:w="3402"/>
        <w:gridCol w:w="3855"/>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Criterio</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Exigencia</w:t>
            </w:r>
          </w:p>
        </w:tc>
        <w:tc>
          <w:tcPr>
            <w:tcW w:type="dxa" w:w="38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Respuesta del rediseño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Coherencia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Coherencia con la misión, la visión y el modelo educativo de la UMSA, y entre el perfil de egreso, las competencias, las estrategias metodológicas y los procesos evaluativos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Visión, misión, perfil, mapa de competencias, estrategias y evaluación formulados de manera articulada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Pertinencia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Diseño basado en el levantamiento de información del medio externo, para actualizar el propósito formativo y responder a las necesidades sociales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Ipsos CIESMORI 2025, encuesta BID 2022, FODA del Instituto de Investigaciones 2025 y normativa nacional e internacional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Contexto sociocultural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Profesionales responsables con su sociedad, emprendedores y constructores de una sociedad justa e inclusiva</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Ética transversal, responsabilidad pública y emprendimiento profesional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Alcance económico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Avances tecnológicos y científicos de cada disciplina, con evaluación de los costos humanos y económicos y de las necesidades de formación</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Eje tecnológico transversal con software de licencia académica o abierta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Relación con el mundo laboral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Conectar al estudiante con el mundo laboral, tomando en cuenta los avances y las necesidades formativas de los estudiantes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Prácticas preprofesionales y proyectos reales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Integralidad y transversalidad</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Desarrollo de las dimensiones humanas, intelectuales, emocionales, físicas, sociales y profesionales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Estructura de saber conocer, saber hacer y saber ser y convivir</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Transferibilidad</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Actividades curriculares en las que el estudiante transfiera sus conocimientos a experiencias prácticas y demuestre sus habilidades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Evaluación por evidencias de desempeño, de producto y de conocimiento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Articulación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Ciclos formativos desde el técnico medio y el técnico superior hasta la licenciatura, la maestría y el doctorado, con educación continua y especialización en el postgrado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Grados intermedios de Técnico Universitario Medio y Técnico Universitario Superior, y articulación con los diplomados y programas de la Unidad de Postgrado</w:t>
            </w:r>
          </w:p>
        </w:tc>
      </w:tr>
    </w:tbl>
    <w:p>
      <w:pPr>
        <w:spacing w:before="40" w:after="200" w:line="240" w:lineRule="auto"/>
        <w:jc w:val="left"/>
      </w:pPr>
      <w:r>
        <w:rPr>
          <w:rFonts w:ascii="Century Gothic" w:hAnsi="Century Gothic" w:cs="Century Gothic" w:eastAsia="Century Gothic"/>
          <w:b w:val="0"/>
          <w:i w:val="0"/>
          <w:sz w:val="16"/>
        </w:rPr>
        <w:t>Fuente: Artículo 11 de la Resolución HCU N.º 032/2025.</w:t>
      </w:r>
    </w:p>
    <w:p>
      <w:pPr>
        <w:spacing w:before="0" w:after="200" w:line="240" w:lineRule="auto"/>
        <w:jc w:val="both"/>
      </w:pPr>
      <w:r>
        <w:rPr>
          <w:rFonts w:ascii="Century Gothic" w:hAnsi="Century Gothic" w:cs="Century Gothic" w:eastAsia="Century Gothic"/>
          <w:b w:val="0"/>
          <w:i w:val="0"/>
          <w:sz w:val="20"/>
          <w:highlight w:val="yellow"/>
        </w:rPr>
        <w:t>En el plano institucional, el Plan Estratégico Institucional de la UMSA se organiza en cuatro áreas, formación de grado y postgrado, investigación, interacción social y gestión de calidad, y fija como objetivo de la Visión 2030 la acreditación internacional de la Universidad. Un programa de Contaduría Pública difícilmente puede acreditarse internacionalmente sin alineación con las Normas Internacionales de Educación de la IFAC, prácticas profesionales estructuradas y evaluación por competencias; por ello, el rediseño es condición para la meta institucional de acreditación.</w:t>
      </w:r>
      <w:r>
        <w:rPr>
          <w:rFonts w:ascii="Century Gothic" w:hAnsi="Century Gothic" w:cs="Century Gothic" w:eastAsia="Century Gothic"/>
          <w:b w:val="0"/>
          <w:i w:val="0"/>
          <w:sz w:val="20"/>
        </w:rPr>
        <w:t xml:space="preserve"> REEMPLAZAR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3.2.2</w:t>
        <w:tab/>
      </w:r>
      <w:r>
        <w:rPr>
          <w:rFonts w:ascii="Century Gothic" w:hAnsi="Century Gothic" w:cs="Century Gothic" w:eastAsia="Century Gothic"/>
          <w:b/>
          <w:i w:val="0"/>
          <w:sz w:val="22"/>
        </w:rPr>
        <w:t>Normativa nacional</w:t>
      </w:r>
    </w:p>
    <w:p>
      <w:pPr>
        <w:spacing w:before="0" w:after="200" w:line="240" w:lineRule="auto"/>
        <w:jc w:val="both"/>
      </w:pPr>
      <w:r>
        <w:rPr>
          <w:rFonts w:ascii="Century Gothic" w:hAnsi="Century Gothic" w:cs="Century Gothic" w:eastAsia="Century Gothic"/>
          <w:b w:val="0"/>
          <w:i w:val="0"/>
          <w:sz w:val="20"/>
        </w:rPr>
        <w:t>La Constitución Política del Estado orienta la educación superior al desarrollo económico y social del país, y la Ley N.º 070 de 2010 establece una formación científica, productiva y con compromiso social. El ejercicio profesional está regulado por el DS N.º 3911 de 1954, elevado a ley en 1957, el DL N.º 12042, sobre firma y sello profesional, y el DS N.º 22274 de 1989, bajo la rectoría del Colegio de Auditores o Contadores Públicos de Bolivia, cuyo Consejo Técnico Nacional de Auditoría y Contabilidad emite las normas técnicas que el egresado debe dominar:</w:t>
      </w:r>
    </w:p>
    <w:p>
      <w:pPr>
        <w:keepNext/>
        <w:spacing w:before="40" w:after="80" w:line="240" w:lineRule="auto"/>
        <w:jc w:val="center"/>
      </w:pPr>
      <w:r>
        <w:rPr>
          <w:rFonts w:ascii="Century Gothic" w:hAnsi="Century Gothic" w:cs="Century Gothic" w:eastAsia="Century Gothic"/>
          <w:b/>
          <w:i w:val="0"/>
          <w:sz w:val="20"/>
        </w:rPr>
        <w:t>Cuadro 13. Normas profesionales nacionales posteriores al Plan 2013</w:t>
      </w:r>
    </w:p>
    <w:tbl>
      <w:tblPr>
        <w:tblW w:type="auto" w:w="0"/>
        <w:jc w:val="center"/>
        <w:tblLayout w:type="fixed"/>
        <w:tblLook w:firstColumn="1" w:firstRow="1" w:lastColumn="0" w:lastRow="0" w:noHBand="0" w:noVBand="1" w:val="04A0"/>
      </w:tblPr>
      <w:tblGrid>
        <w:gridCol w:w="1814"/>
        <w:gridCol w:w="5272"/>
        <w:gridCol w:w="1984"/>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Resolución CTNAC</w:t>
            </w:r>
          </w:p>
        </w:tc>
        <w:tc>
          <w:tcPr>
            <w:tcW w:type="dxa" w:w="527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Contenido</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Vigencia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N.º 001/2015</w:t>
            </w:r>
          </w:p>
        </w:tc>
        <w:tc>
          <w:tcPr>
            <w:tcW w:type="dxa" w:w="52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Adopción supletoria de las NIA, NIER, NIEA y NISR</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Vigente</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N.º 01/2020</w:t>
            </w:r>
          </w:p>
        </w:tc>
        <w:tc>
          <w:tcPr>
            <w:tcW w:type="dxa" w:w="52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Adopción del Código de Ética del IESBA</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Desde el 1 de enero de 2021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N.º 002/2020</w:t>
            </w:r>
          </w:p>
        </w:tc>
        <w:tc>
          <w:tcPr>
            <w:tcW w:type="dxa" w:w="52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Adopción de las Normas Internacionales de Gestión de la Calidad</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Desde el 1 de enero de 2021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N.º 01/2024</w:t>
            </w:r>
          </w:p>
        </w:tc>
        <w:tc>
          <w:tcPr>
            <w:tcW w:type="dxa" w:w="52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Adopción de las NIIF de Sostenibilidad del ISSB para todas las entidades con actividad económica en Bolivia</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Desde el 1 de enero de 2027</w:t>
            </w:r>
          </w:p>
        </w:tc>
      </w:tr>
    </w:tbl>
    <w:p>
      <w:pPr>
        <w:spacing w:before="40" w:after="200" w:line="240" w:lineRule="auto"/>
        <w:jc w:val="left"/>
      </w:pPr>
      <w:r>
        <w:rPr>
          <w:rFonts w:ascii="Century Gothic" w:hAnsi="Century Gothic" w:cs="Century Gothic" w:eastAsia="Century Gothic"/>
          <w:b w:val="0"/>
          <w:i w:val="0"/>
          <w:sz w:val="16"/>
        </w:rPr>
        <w:t>Fuente: CAUB (2021); CTNAC (2024). Las Normas de Contabilidad N.º 1 a 14 continúan vigentes, con aplicación supletoria de las NIIF.</w:t>
      </w:r>
    </w:p>
    <w:p>
      <w:pPr>
        <w:keepNext/>
        <w:spacing w:before="40" w:after="80" w:line="240" w:lineRule="auto"/>
        <w:jc w:val="center"/>
      </w:pPr>
      <w:r>
        <w:rPr>
          <w:rFonts w:ascii="Century Gothic" w:hAnsi="Century Gothic" w:cs="Century Gothic" w:eastAsia="Century Gothic"/>
          <w:b/>
          <w:i w:val="0"/>
          <w:sz w:val="20"/>
        </w:rPr>
        <w:t>Cuadro 14. Principal normativa nacional para el ejercicio profesional</w:t>
      </w:r>
    </w:p>
    <w:tbl>
      <w:tblPr>
        <w:tblW w:type="auto" w:w="0"/>
        <w:jc w:val="center"/>
        <w:tblLayout w:type="fixed"/>
        <w:tblLook w:firstColumn="1" w:firstRow="1" w:lastColumn="0" w:lastRow="0" w:noHBand="0" w:noVBand="1" w:val="04A0"/>
      </w:tblPr>
      <w:tblGrid>
        <w:gridCol w:w="1814"/>
        <w:gridCol w:w="3855"/>
        <w:gridCol w:w="3402"/>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Ámbito</w:t>
            </w:r>
          </w:p>
        </w:tc>
        <w:tc>
          <w:tcPr>
            <w:tcW w:type="dxa" w:w="38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Norma</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Implicancia curricular</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Ejercicio profesional</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DS N.º 3911; DL N.º 12042; DS N.º 22274; RS N.º 209343 de 1991, personería del CAUB</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Requisitos, firma y sello profesional; responsabilidad del Contador Público Autorizado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Contabilidad y auditoría</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Normas de Contabilidad N.º 1 a 14 y NIIF supletorias; Norma de Auditoría N.º 1 y NIA supletorias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Núcleo de información financiera y de aseguramiento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Sector público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Ley N.º 1178, Normas Básicas del Sistema de Contabilidad Integrada y Normas de Auditoría Gubernamental de la Contraloría General del Estado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Contabilidad y auditoría gubernamental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Comercial</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Código de Comercio, DL N.º 14379</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Libros, estados financieros y sociedades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Tributario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Ley N.º 843; Ley N.º 2492, Código Tributario; RND N.º 102100000011, Sistema de Facturación en Línea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Contabilidad de tributos, auditoría tributaria y plataformas fiscales electrónicas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Financiero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Ley N.º 393 de Servicios Financieros y normativa de la ASFI</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Contabilidad y auditoría de entidades financieras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Prevención de delitos financieros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Normativa de la Unidad de Investigaciones Financieras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forense y programas de cumplimiento</w:t>
            </w:r>
          </w:p>
        </w:tc>
      </w:tr>
    </w:tbl>
    <w:p>
      <w:pPr>
        <w:spacing w:before="40" w:after="200" w:line="240" w:lineRule="auto"/>
        <w:jc w:val="left"/>
      </w:pPr>
      <w:r>
        <w:rPr>
          <w:rFonts w:ascii="Century Gothic" w:hAnsi="Century Gothic" w:cs="Century Gothic" w:eastAsia="Century Gothic"/>
          <w:b w:val="0"/>
          <w:i w:val="0"/>
          <w:sz w:val="16"/>
        </w:rPr>
        <w:t>Nota: Normativa enunciativa y no limitativa.</w:t>
        <w:br/>
      </w:r>
      <w:r>
        <w:rPr>
          <w:rFonts w:ascii="Century Gothic" w:hAnsi="Century Gothic" w:cs="Century Gothic" w:eastAsia="Century Gothic"/>
          <w:b w:val="0"/>
          <w:i w:val="0"/>
          <w:sz w:val="16"/>
        </w:rPr>
        <w:t>Fuente: CAUB (2021) y legislación citada.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3.2.3</w:t>
        <w:tab/>
      </w:r>
      <w:r>
        <w:rPr>
          <w:rFonts w:ascii="Century Gothic" w:hAnsi="Century Gothic" w:cs="Century Gothic" w:eastAsia="Century Gothic"/>
          <w:b/>
          <w:i w:val="0"/>
          <w:sz w:val="22"/>
        </w:rPr>
        <w:t>Normativa internacional</w:t>
      </w:r>
    </w:p>
    <w:p>
      <w:pPr>
        <w:spacing w:before="0" w:after="200" w:line="240" w:lineRule="auto"/>
        <w:jc w:val="both"/>
      </w:pPr>
      <w:r>
        <w:rPr>
          <w:rFonts w:ascii="Century Gothic" w:hAnsi="Century Gothic" w:cs="Century Gothic" w:eastAsia="Century Gothic"/>
          <w:b w:val="0"/>
          <w:i w:val="0"/>
          <w:sz w:val="20"/>
        </w:rPr>
        <w:t>El Colegio de Auditores o Contadores Públicos de Bolivia es miembro pleno de la IFAC, y la propia IFAC califica como parcial la adopción en Bolivia de sus Normas Internacionales de Educación, IES 1 a IES 8: por la autonomía universitaria se usan como referencia, sin que los planes incorporen sus versiones recientes. Las IES 2, 3, 4 y 8 fueron revisadas en materia de tecnologías de la información y escepticismo profesional, con vigencia desde 2021, ocho años después de formulado el Plan 2013. A ello se suman pronunciamientos técnicos posteriores a 2013:</w:t>
      </w:r>
    </w:p>
    <w:p>
      <w:pPr>
        <w:keepNext/>
        <w:spacing w:before="40" w:after="80" w:line="240" w:lineRule="auto"/>
        <w:jc w:val="center"/>
      </w:pPr>
      <w:r>
        <w:rPr>
          <w:rFonts w:ascii="Century Gothic" w:hAnsi="Century Gothic" w:cs="Century Gothic" w:eastAsia="Century Gothic"/>
          <w:b/>
          <w:i w:val="0"/>
          <w:sz w:val="20"/>
        </w:rPr>
        <w:t>Cuadro 15. Pronunciamientos internacionales con impacto curricular</w:t>
      </w:r>
    </w:p>
    <w:tbl>
      <w:tblPr>
        <w:tblW w:type="auto" w:w="0"/>
        <w:jc w:val="center"/>
        <w:tblLayout w:type="fixed"/>
        <w:tblLook w:firstColumn="1" w:firstRow="1" w:lastColumn="0" w:lastRow="0" w:noHBand="0" w:noVBand="1" w:val="04A0"/>
      </w:tblPr>
      <w:tblGrid>
        <w:gridCol w:w="1417"/>
        <w:gridCol w:w="5102"/>
        <w:gridCol w:w="2551"/>
      </w:tblGrid>
      <w:tr>
        <w:trPr>
          <w:tblHeader/>
        </w:trPr>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Emisor</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Pronunciamiento</w:t>
            </w:r>
          </w:p>
        </w:tc>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Vigencia</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IASB</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NIIF para las PYMES, tercera edición, de febrero de 2025</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2027</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ISSB</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NIIF S1 y S2, información de sostenibilidad y clima</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2024; en Bolivia desde 2027</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IAASB</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NIA 315 revisada, riesgos y entorno de tecnologías de la información</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Desde el 15 de diciembre de 2021</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IAASB</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NIA para Entidades Menos Complejas</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Desde el 15 de diciembre de 2025</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IAASB</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NIAS 5000, aseguramiento de información de sostenibilidad</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Desde el 15 de diciembre de 2026</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IESBA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Código Internacional de Ética del IESBA</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2021</w:t>
            </w:r>
          </w:p>
        </w:tc>
      </w:tr>
    </w:tbl>
    <w:p>
      <w:pPr>
        <w:spacing w:before="40" w:after="200" w:line="240" w:lineRule="auto"/>
        <w:jc w:val="left"/>
      </w:pPr>
      <w:r>
        <w:rPr>
          <w:rFonts w:ascii="Century Gothic" w:hAnsi="Century Gothic" w:cs="Century Gothic" w:eastAsia="Century Gothic"/>
          <w:b w:val="0"/>
          <w:i w:val="0"/>
          <w:sz w:val="16"/>
        </w:rPr>
        <w:t>Fuente: IFAC, Handbook of International Education Pronouncements, y pronunciamientos citados.</w:t>
      </w:r>
    </w:p>
    <w:p>
      <w:pPr>
        <w:spacing w:before="0" w:after="200" w:line="240" w:lineRule="auto"/>
        <w:jc w:val="both"/>
      </w:pPr>
      <w:r>
        <w:rPr>
          <w:rFonts w:ascii="Century Gothic" w:hAnsi="Century Gothic" w:cs="Century Gothic" w:eastAsia="Century Gothic"/>
          <w:b w:val="0"/>
          <w:i w:val="0"/>
          <w:sz w:val="20"/>
        </w:rPr>
        <w:t>Como se evidencia existe normativa de reciente vigencia la cual debe ser incorporada como parte del ejercicio profesional, en esta propuesta de rediseño curricular.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3.2.4</w:t>
        <w:tab/>
      </w:r>
      <w:r>
        <w:rPr>
          <w:rFonts w:ascii="Century Gothic" w:hAnsi="Century Gothic" w:cs="Century Gothic" w:eastAsia="Century Gothic"/>
          <w:b/>
          <w:i w:val="0"/>
          <w:sz w:val="22"/>
        </w:rPr>
        <w:t>Brecha normativa y necesidad de actualización</w:t>
      </w:r>
    </w:p>
    <w:p>
      <w:pPr>
        <w:keepNext/>
        <w:spacing w:before="40" w:after="80" w:line="240" w:lineRule="auto"/>
        <w:jc w:val="center"/>
      </w:pPr>
      <w:r>
        <w:rPr>
          <w:rFonts w:ascii="Century Gothic" w:hAnsi="Century Gothic" w:cs="Century Gothic" w:eastAsia="Century Gothic"/>
          <w:b/>
          <w:i w:val="0"/>
          <w:sz w:val="20"/>
        </w:rPr>
        <w:t>Cuadro 16. Ejemplos de brecha normativa del Plan 2013</w:t>
      </w:r>
    </w:p>
    <w:tbl>
      <w:tblPr>
        <w:tblW w:type="auto" w:w="0"/>
        <w:jc w:val="center"/>
        <w:tblLayout w:type="fixed"/>
        <w:tblLook w:firstColumn="1" w:firstRow="1" w:lastColumn="0" w:lastRow="0" w:noHBand="0" w:noVBand="1" w:val="04A0"/>
      </w:tblPr>
      <w:tblGrid>
        <w:gridCol w:w="4535"/>
        <w:gridCol w:w="4535"/>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Exigencia vigente</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Situación del Plan 2013</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Rediseño cada siete años en la UMSA y cada diez años en el Sistema</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Trece años sin rediseño: plazo vencido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Perfil del Contador Público Autorizado, Resolución N.º 07/2024</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Perfil de egreso centrado en la auditoría financiera: desalineado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Mapa de competencias y prácticas preprofesionales, Artículo 8</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Ausentes</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NIIF de Sostenibilidad, Resolución CTNAC N.º 01/2024, y NIAS 5000</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Sin contenido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revisadas en tecnologías de la información y escepticismo profesional</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No incorporadas</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Código del IESBA y Normas Internacionales de Gestión de la Calidad</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Ética como asignatura única al final del plan; gestión de la calidad sin contenido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NIA 315 revisada, NIA para Entidades Menos Complejas y NIIF para las PYMES, tercera edición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Desactualizado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Facturación en línea, RND N.º 102100000011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Enseñanza sobre el ciclo documental físico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De este análisis se desprende que la actualización de la normativa debe ser incorporada en el perfil de egreso y en las competencias de cada asignatura, de tal manera que el estudiante este actualizado permanentemente.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3.3</w:t>
        <w:tab/>
      </w:r>
      <w:r>
        <w:rPr>
          <w:rFonts w:ascii="Century Gothic" w:hAnsi="Century Gothic" w:cs="Century Gothic" w:eastAsia="Century Gothic"/>
          <w:b/>
          <w:i w:val="0"/>
          <w:sz w:val="24"/>
        </w:rPr>
        <w:t>Análisis del contexto económico, estudio de mercado laboral e inserción laboral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3.3.1</w:t>
        <w:tab/>
      </w:r>
      <w:r>
        <w:rPr>
          <w:rFonts w:ascii="Century Gothic" w:hAnsi="Century Gothic" w:cs="Century Gothic" w:eastAsia="Century Gothic"/>
          <w:b/>
          <w:i w:val="0"/>
          <w:sz w:val="22"/>
        </w:rPr>
        <w:t>Contexto económico</w:t>
      </w:r>
    </w:p>
    <w:p>
      <w:pPr>
        <w:spacing w:before="0" w:after="200" w:line="240" w:lineRule="auto"/>
        <w:jc w:val="both"/>
      </w:pPr>
      <w:r>
        <w:rPr>
          <w:rFonts w:ascii="Century Gothic" w:hAnsi="Century Gothic" w:cs="Century Gothic" w:eastAsia="Century Gothic"/>
          <w:b w:val="0"/>
          <w:i w:val="0"/>
          <w:sz w:val="20"/>
        </w:rPr>
        <w:t>Bolivia atraviesa su recesión más profunda en décadas. El FMI proyecta una contracción del PIB de 3,3 % en 2026, con un déficit fiscal de 11,4 % del PIB en 2025 en proceso de reducción y un régimen cambiario flexible desde junio de 2026. La informalidad laboral alcanza el 84,2 %, según el INE para el primer trimestre de 2026, y la población ocupada cayó en unas 205 mil personas en el primer semestre, según el BCB. Aun así, la base empresarial formal llegó a 395.790 unidades económicas a septiembre de 2025, cerca de 117.800 de ellas en La Paz, la mayor del país, según el SEPREC.</w:t>
      </w:r>
    </w:p>
    <w:p>
      <w:pPr>
        <w:spacing w:before="0" w:after="200" w:line="240" w:lineRule="auto"/>
        <w:jc w:val="both"/>
      </w:pPr>
      <w:r>
        <w:rPr>
          <w:rFonts w:ascii="Century Gothic" w:hAnsi="Century Gothic" w:cs="Century Gothic" w:eastAsia="Century Gothic"/>
          <w:b w:val="0"/>
          <w:i w:val="0"/>
          <w:sz w:val="20"/>
        </w:rPr>
        <w:t>Este contexto desplaza el valor del contador del registro al control: menos contratación y más exigencia de control de costos, flujo de caja, riesgo cambiario y cumplimiento tributario. Además, el 85 % de los estudiantes reconoce que la coyuntura presiona para abandonar o retrasar la carrera, según el FODA de 2025 del Instituto de Investigaciones de Ciencias Contables, Financieras y Auditoría, IICCFA, lo que obliga a un plan compatible con el estudiante que trabaja.</w:t>
      </w:r>
    </w:p>
    <w:p>
      <w:pPr>
        <w:keepNext/>
        <w:spacing w:before="40" w:after="80" w:line="240" w:lineRule="auto"/>
        <w:jc w:val="center"/>
      </w:pPr>
      <w:r>
        <w:rPr>
          <w:rFonts w:ascii="Century Gothic" w:hAnsi="Century Gothic" w:cs="Century Gothic" w:eastAsia="Century Gothic"/>
          <w:b/>
          <w:i w:val="0"/>
          <w:sz w:val="20"/>
        </w:rPr>
        <w:t>Cuadro 17. Indicadores macroeconómicos y laborales recientes</w:t>
      </w:r>
    </w:p>
    <w:tbl>
      <w:tblPr>
        <w:tblW w:type="auto" w:w="0"/>
        <w:jc w:val="center"/>
        <w:tblLayout w:type="fixed"/>
        <w:tblLook w:firstColumn="1" w:firstRow="1" w:lastColumn="0" w:lastRow="0" w:noHBand="0" w:noVBand="1" w:val="04A0"/>
      </w:tblPr>
      <w:tblGrid>
        <w:gridCol w:w="2835"/>
        <w:gridCol w:w="4252"/>
        <w:gridCol w:w="1984"/>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42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Dato</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Fuente</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PIB real 2026</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-3,3 % según el FMI en abril; -3,0 % según el programa con el FMI; -2,8 % según el Banco Mundial</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FMI; Banco Mundial (2026)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Inflación a doce meses, septiembre de 2026</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5,70 %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INE (2026)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Déficit fiscal</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11,4 % del PIB en 2025; meta de 3,2 % en 2029</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FMI (2026)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Desocupación urbana, segundo trimestre de 2026</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3,4 %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INE (2026)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Informalidad laboral, marzo de 2026</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84,2 %; jóvenes 93,2 %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INE (2026)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Ramas con más ocupación</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Comercio 23,7 %; manufactura 15,0 %; alojamiento y comidas 10,6 %; transporte 9,4 %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INE (2026)</w:t>
            </w:r>
          </w:p>
        </w:tc>
      </w:tr>
    </w:tbl>
    <w:p>
      <w:pPr>
        <w:spacing w:before="40" w:after="200" w:line="240" w:lineRule="auto"/>
        <w:jc w:val="left"/>
      </w:pPr>
      <w:r>
        <w:rPr>
          <w:rFonts w:ascii="Century Gothic" w:hAnsi="Century Gothic" w:cs="Century Gothic" w:eastAsia="Century Gothic"/>
          <w:b w:val="0"/>
          <w:i w:val="0"/>
          <w:sz w:val="16"/>
        </w:rPr>
        <w:t>Fuente: documentos del FMI, Banco Mundial, INE y BCB.</w:t>
      </w:r>
    </w:p>
    <w:p>
      <w:pPr>
        <w:spacing w:before="0" w:after="200" w:line="240" w:lineRule="auto"/>
        <w:jc w:val="both"/>
      </w:pPr>
      <w:r>
        <w:rPr>
          <w:rFonts w:ascii="Century Gothic" w:hAnsi="Century Gothic" w:cs="Century Gothic" w:eastAsia="Century Gothic"/>
          <w:b w:val="0"/>
          <w:i w:val="0"/>
          <w:sz w:val="20"/>
        </w:rPr>
        <w:t>Se derivan cuatro consecuencias para la formación: las entidades que reducen personal exigen más control de costos, flujo de caja y cumplimiento a cada profesional que mantienen; el tipo de cambio flexible y la inflación convierten la medición en moneda extranjera y el riesgo financiero en temas del ejercicio cotidiano; el ajuste del sector público demanda perfiles de control interno y gestión de riesgos más que de registro; y la informalidad abre un espacio de servicios de formalización y acompañamiento a la micro y pequeña empresa para el ejercicio independiente.</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3.3.2</w:t>
        <w:tab/>
      </w:r>
      <w:r>
        <w:rPr>
          <w:rFonts w:ascii="Century Gothic" w:hAnsi="Century Gothic" w:cs="Century Gothic" w:eastAsia="Century Gothic"/>
          <w:b/>
          <w:i w:val="0"/>
          <w:sz w:val="22"/>
        </w:rPr>
        <w:t>Demanda de las empresas</w:t>
      </w:r>
    </w:p>
    <w:p>
      <w:pPr>
        <w:spacing w:before="0" w:after="200" w:line="240" w:lineRule="auto"/>
        <w:jc w:val="both"/>
      </w:pPr>
      <w:r>
        <w:rPr>
          <w:rFonts w:ascii="Century Gothic" w:hAnsi="Century Gothic" w:cs="Century Gothic" w:eastAsia="Century Gothic"/>
          <w:b w:val="0"/>
          <w:i w:val="0"/>
          <w:sz w:val="20"/>
        </w:rPr>
        <w:t>La Encuesta de demanda laboral del BID, aplicada en 2022 a 1.931 empresas de La Paz, Cochabamba y Santa Cruz, muestra que el 97 % de las empresas opera con internet; que la falta de habilidades blandas, con el 26 %, y de experiencia práctica, con el 25 %, son las principales barreras de contratación; que la capacitación interna cayó del 81 % al 57 % de las empresas entre 2020 y 2022; y que el 30 % de las empresas grandes ya tiene programas de pasantías. La empresa espera profesionales operativos desde el primer día y traslada esa responsabilidad a la universidad.</w:t>
      </w:r>
    </w:p>
    <w:p>
      <w:pPr>
        <w:keepNext/>
        <w:spacing w:before="40" w:after="80" w:line="240" w:lineRule="auto"/>
        <w:jc w:val="center"/>
      </w:pPr>
      <w:r>
        <w:rPr>
          <w:rFonts w:ascii="Century Gothic" w:hAnsi="Century Gothic" w:cs="Century Gothic" w:eastAsia="Century Gothic"/>
          <w:b/>
          <w:i w:val="0"/>
          <w:sz w:val="20"/>
        </w:rPr>
        <w:t>Cuadro 18. Hallazgos de la Encuesta BID relevantes para la formación</w:t>
      </w:r>
    </w:p>
    <w:tbl>
      <w:tblPr>
        <w:tblW w:type="auto" w:w="0"/>
        <w:jc w:val="center"/>
        <w:tblLayout w:type="fixed"/>
        <w:tblLook w:firstColumn="1" w:firstRow="1" w:lastColumn="0" w:lastRow="0" w:noHBand="0" w:noVBand="1" w:val="04A0"/>
      </w:tblPr>
      <w:tblGrid>
        <w:gridCol w:w="3969"/>
        <w:gridCol w:w="5102"/>
      </w:tblGrid>
      <w:tr>
        <w:trPr>
          <w:tblHeader/>
        </w:trPr>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Hallazgo</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Dato</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Estructura empresarial en ciudades grandes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48 % servicios y 26 % comercio; 68 % pequeñas, 24 % medianas y 8 % grandes</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Equipamiento tecnológico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97 % con internet y 89 % con computadoras</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Contrataciones orientadas a perfiles universitarios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51 %</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Peso del personal administrativo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Entre 20 % y 29 % de los trabajadores</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Capacitación en la empresa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Cayó del 81 % al 57 % entre 2020 y 2022</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Programas de pasantías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30 % de las empresas de ciudades grandes</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Remuneración del empleo estable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Promedio de Bs 5.116 y mediana de Bs 3.500</w:t>
            </w:r>
          </w:p>
        </w:tc>
      </w:tr>
    </w:tbl>
    <w:p>
      <w:pPr>
        <w:spacing w:before="40" w:after="200" w:line="240" w:lineRule="auto"/>
        <w:jc w:val="left"/>
      </w:pPr>
      <w:r>
        <w:rPr>
          <w:rFonts w:ascii="Century Gothic" w:hAnsi="Century Gothic" w:cs="Century Gothic" w:eastAsia="Century Gothic"/>
          <w:b w:val="0"/>
          <w:i w:val="0"/>
          <w:sz w:val="16"/>
        </w:rPr>
        <w:t>Fuente: Urquidi et al. (2023a; 2023b).</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3.3.3</w:t>
        <w:tab/>
      </w:r>
      <w:r>
        <w:rPr>
          <w:rFonts w:ascii="Century Gothic" w:hAnsi="Century Gothic" w:cs="Century Gothic" w:eastAsia="Century Gothic"/>
          <w:b/>
          <w:i w:val="0"/>
          <w:sz w:val="22"/>
        </w:rPr>
        <w:t>Inserción laboral de los egresados</w:t>
      </w:r>
    </w:p>
    <w:p>
      <w:pPr>
        <w:keepNext/>
        <w:spacing w:before="40" w:after="80" w:line="240" w:lineRule="auto"/>
        <w:jc w:val="center"/>
      </w:pPr>
      <w:r>
        <w:rPr>
          <w:rFonts w:ascii="Century Gothic" w:hAnsi="Century Gothic" w:cs="Century Gothic" w:eastAsia="Century Gothic"/>
          <w:b/>
          <w:i w:val="0"/>
          <w:sz w:val="20"/>
        </w:rPr>
        <w:t>Cuadro 19. Inserción laboral de egresados de Contaduría Pública</w:t>
      </w:r>
    </w:p>
    <w:tbl>
      <w:tblPr>
        <w:tblW w:type="auto" w:w="0"/>
        <w:jc w:val="center"/>
        <w:tblLayout w:type="fixed"/>
        <w:tblLook w:firstColumn="1" w:firstRow="1" w:lastColumn="0" w:lastRow="0" w:noHBand="0" w:noVBand="1" w:val="04A0"/>
      </w:tblPr>
      <w:tblGrid>
        <w:gridCol w:w="4252"/>
        <w:gridCol w:w="4819"/>
      </w:tblGrid>
      <w:tr>
        <w:trPr>
          <w:tblHeader/>
        </w:trPr>
        <w:tc>
          <w:tcPr>
            <w:tcW w:type="dxa" w:w="42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481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Resultado</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Ejercen la carrera</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63 %</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Trabajadores dependientes, independientes o consultores y desempleados</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52 %, 31 % y 14 %</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Dependientes en nivel técnico operativo, mando medio y gerencial</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77 %, 23 % y 0 %</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Ingreso mensual de hasta Bs 5.000</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87 %</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Áreas de inserción</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interna 35 %; contabilidad 26 %; auditoría externa 18 %; impuestos 11 %</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Perciben el mercado saturado, competitivo o en crecimiento</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46 %, 46 % y 3 %</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Estudiaron otra profesión después de egresar</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75 %</w:t>
            </w:r>
          </w:p>
        </w:tc>
      </w:tr>
      <w:tr>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Aún sin título</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21 %</w:t>
            </w:r>
          </w:p>
        </w:tc>
      </w:tr>
    </w:tbl>
    <w:p>
      <w:pPr>
        <w:spacing w:before="40" w:after="200" w:line="240" w:lineRule="auto"/>
        <w:jc w:val="left"/>
      </w:pPr>
      <w:r>
        <w:rPr>
          <w:rFonts w:ascii="Century Gothic" w:hAnsi="Century Gothic" w:cs="Century Gothic" w:eastAsia="Century Gothic"/>
          <w:b w:val="0"/>
          <w:i w:val="0"/>
          <w:sz w:val="16"/>
        </w:rPr>
        <w:t>Fuente: Ipsos CIESMORI (2025), con base en 160 egresados de Contaduría Pública.</w:t>
      </w:r>
    </w:p>
    <w:p>
      <w:pPr>
        <w:spacing w:before="0" w:after="200" w:line="240" w:lineRule="auto"/>
        <w:jc w:val="both"/>
      </w:pPr>
      <w:r>
        <w:rPr>
          <w:rFonts w:ascii="Century Gothic" w:hAnsi="Century Gothic" w:cs="Century Gothic" w:eastAsia="Century Gothic"/>
          <w:b w:val="0"/>
          <w:i w:val="0"/>
          <w:sz w:val="20"/>
        </w:rPr>
        <w:t>Las áreas de inserción se concentran en auditoría interna, contabilidad, auditoría externa e impuestos; la consultoría, el análisis financiero y la tecnología aparecen poco. Entre quienes no ejercen, el motivo principal es no encontrar trabajo en el área, con el 37 %, seguido de la titulación en proceso, con el 22 %. De los titulados, el 81 % tardó entre seis meses y dos años en obtener el título tras concluir el plan.</w:t>
      </w:r>
    </w:p>
    <w:p>
      <w:pPr>
        <w:spacing w:before="0" w:after="200" w:line="240" w:lineRule="auto"/>
        <w:jc w:val="both"/>
      </w:pPr>
      <w:r>
        <w:rPr>
          <w:rFonts w:ascii="Century Gothic" w:hAnsi="Century Gothic" w:cs="Century Gothic" w:eastAsia="Century Gothic"/>
          <w:b w:val="0"/>
          <w:i w:val="0"/>
          <w:sz w:val="20"/>
        </w:rPr>
        <w:t>En cumplimiento del Artículo 12 de la Resolución HCU N.º 032/2025, se identifican las áreas laborales y los empleadores potenciales:</w:t>
      </w:r>
    </w:p>
    <w:p>
      <w:pPr>
        <w:keepNext/>
        <w:spacing w:before="40" w:after="80" w:line="240" w:lineRule="auto"/>
        <w:jc w:val="center"/>
      </w:pPr>
      <w:r>
        <w:rPr>
          <w:rFonts w:ascii="Century Gothic" w:hAnsi="Century Gothic" w:cs="Century Gothic" w:eastAsia="Century Gothic"/>
          <w:b/>
          <w:i w:val="0"/>
          <w:sz w:val="20"/>
        </w:rPr>
        <w:t>Cuadro 20. Áreas laborales y empleadores del Contador Público Autorizado</w:t>
      </w:r>
    </w:p>
    <w:tbl>
      <w:tblPr>
        <w:tblW w:type="auto" w:w="0"/>
        <w:jc w:val="center"/>
        <w:tblLayout w:type="fixed"/>
        <w:tblLook w:firstColumn="1" w:firstRow="1" w:lastColumn="0" w:lastRow="0" w:noHBand="0" w:noVBand="1" w:val="04A0"/>
      </w:tblPr>
      <w:tblGrid>
        <w:gridCol w:w="2268"/>
        <w:gridCol w:w="3402"/>
        <w:gridCol w:w="3402"/>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Área laboral</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Funciones principales</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Empleadores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Información financiera y de sostenibilidad</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Sistemas contables, estados financieros y reportes de sostenibilidad</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Empresas de todos los sectores, cooperativas y organizaciones no gubernamentales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externa y aseguramiento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de estados financieros, revisiones y aseguramiento de sostenibilidad</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Firmas de auditoría y ejercicio independiente</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interna, control y riesgos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Control interno bajo COSO, gestión de riesgos y cumplimiento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Entidades públicas y privadas y sistema financiero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Control gubernamental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gubernamental y control posterior</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Contraloría General del Estado, ministerios, gobiernos subnacionales y empresas públicas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Tributación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Liquidación, planificación fiscal y defensa tributaria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Empresas, consultoras, Servicio de Impuestos Nacionales y Aduana Nacional</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Finanzas y control de gestión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Presupuestos, cuadros de mando, valoración y proyectos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Empresas medianas y grandes y entidades financieras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de sistemas y forense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de tecnologías de la información, ciberseguridad, investigación de fraude y peritaje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Firmas especializadas, Ministerio Público y Órgano Judicial</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Docencia, investigación y ejercicio independiente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Docencia, investigación aplicada y consultoría a micro y pequeñas empresas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Universidades y práctica propia, que ejerce el 31 % de los egresados</w:t>
            </w:r>
          </w:p>
        </w:tc>
      </w:tr>
    </w:tbl>
    <w:p>
      <w:pPr>
        <w:spacing w:before="40" w:after="200" w:line="240" w:lineRule="auto"/>
        <w:jc w:val="left"/>
      </w:pPr>
      <w:r>
        <w:rPr>
          <w:rFonts w:ascii="Century Gothic" w:hAnsi="Century Gothic" w:cs="Century Gothic" w:eastAsia="Century Gothic"/>
          <w:b w:val="0"/>
          <w:i w:val="0"/>
          <w:sz w:val="16"/>
        </w:rPr>
        <w:t>Nota: Enunciativa no limitativa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3.3.4</w:t>
        <w:tab/>
      </w:r>
      <w:r>
        <w:rPr>
          <w:rFonts w:ascii="Century Gothic" w:hAnsi="Century Gothic" w:cs="Century Gothic" w:eastAsia="Century Gothic"/>
          <w:b/>
          <w:i w:val="0"/>
          <w:sz w:val="22"/>
        </w:rPr>
        <w:t>Brecha de competencias</w:t>
      </w:r>
    </w:p>
    <w:p>
      <w:pPr>
        <w:keepNext/>
        <w:spacing w:before="40" w:after="80" w:line="240" w:lineRule="auto"/>
        <w:jc w:val="center"/>
      </w:pPr>
      <w:r>
        <w:rPr>
          <w:rFonts w:ascii="Century Gothic" w:hAnsi="Century Gothic" w:cs="Century Gothic" w:eastAsia="Century Gothic"/>
          <w:b/>
          <w:i w:val="0"/>
          <w:sz w:val="20"/>
        </w:rPr>
        <w:t>Cuadro 21. Competencias: necesidad laboral frente a aplicación en la formación</w:t>
      </w:r>
    </w:p>
    <w:tbl>
      <w:tblPr>
        <w:tblW w:type="auto" w:w="0"/>
        <w:jc w:val="center"/>
        <w:tblLayout w:type="fixed"/>
        <w:tblLook w:firstColumn="1" w:firstRow="1" w:lastColumn="0" w:lastRow="0" w:noHBand="0" w:noVBand="1" w:val="04A0"/>
      </w:tblPr>
      <w:tblGrid>
        <w:gridCol w:w="3402"/>
        <w:gridCol w:w="1701"/>
        <w:gridCol w:w="1984"/>
        <w:gridCol w:w="1984"/>
      </w:tblGrid>
      <w:tr>
        <w:trPr>
          <w:tblHeader/>
        </w:trPr>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Competencia</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Necesaria</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Aplicada con frecuencia</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Brecha en puntos porcentuales</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Habilidades tecnológicas emergentes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87 %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36 %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51</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Habilidades tecnológicas básicas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98 %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55 %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43</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Empatía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91 %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51 %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40</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Liderazgo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96 %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57 %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39</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de conflictos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94 %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57 %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37</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Gestión del tiempo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97 %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62 %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35</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Pensamiento crítico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95 %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70 %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25</w:t>
            </w:r>
          </w:p>
        </w:tc>
      </w:tr>
    </w:tbl>
    <w:p>
      <w:pPr>
        <w:spacing w:before="40" w:after="200" w:line="240" w:lineRule="auto"/>
        <w:jc w:val="left"/>
      </w:pPr>
      <w:r>
        <w:rPr>
          <w:rFonts w:ascii="Century Gothic" w:hAnsi="Century Gothic" w:cs="Century Gothic" w:eastAsia="Century Gothic"/>
          <w:b w:val="0"/>
          <w:i w:val="0"/>
          <w:sz w:val="16"/>
        </w:rPr>
        <w:t>Fuente: Ipsos CIESMORI (2025), láminas 38 y 39, con base en 160 egresados. Necesaria: totalmente y muy necesaria. Aplicada con frecuencia: todo el tiempo y buena parte del tiempo.</w:t>
      </w:r>
    </w:p>
    <w:p>
      <w:pPr>
        <w:spacing w:before="0" w:after="200" w:line="240" w:lineRule="auto"/>
        <w:jc w:val="both"/>
      </w:pPr>
      <w:r>
        <w:rPr>
          <w:rFonts w:ascii="Century Gothic" w:hAnsi="Century Gothic" w:cs="Century Gothic" w:eastAsia="Century Gothic"/>
          <w:b w:val="0"/>
          <w:i w:val="0"/>
          <w:sz w:val="20"/>
        </w:rPr>
        <w:t>El diagnóstico interno confirma la misma dirección: el 89 % de los estudiantes y el 83 % de los docentes consideran una amenaza que el mercado demande habilidades tecnológicas e idiomas que la Carrera no cubre, y el 88 % de los estudiantes respalda pasantías obligatorias desde tercer año, según el FODA del Instituto de Investigaciones de 2025.</w:t>
      </w:r>
    </w:p>
    <w:p>
      <w:pPr>
        <w:keepNext/>
        <w:spacing w:before="40" w:after="80" w:line="240" w:lineRule="auto"/>
        <w:jc w:val="center"/>
      </w:pPr>
      <w:r>
        <w:rPr>
          <w:rFonts w:ascii="Century Gothic" w:hAnsi="Century Gothic" w:cs="Century Gothic" w:eastAsia="Century Gothic"/>
          <w:b/>
          <w:i w:val="0"/>
          <w:sz w:val="20"/>
        </w:rPr>
        <w:t>Cuadro 22. Hallazgos del mercado y su implicancia curricular</w:t>
      </w:r>
    </w:p>
    <w:tbl>
      <w:tblPr>
        <w:tblW w:type="auto" w:w="0"/>
        <w:jc w:val="center"/>
        <w:tblLayout w:type="fixed"/>
        <w:tblLook w:firstColumn="1" w:firstRow="1" w:lastColumn="0" w:lastRow="0" w:noHBand="0" w:noVBand="1" w:val="04A0"/>
      </w:tblPr>
      <w:tblGrid>
        <w:gridCol w:w="1984"/>
        <w:gridCol w:w="3402"/>
        <w:gridCol w:w="3685"/>
      </w:tblGrid>
      <w:tr>
        <w:trPr>
          <w:tblHeader/>
        </w:trPr>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Hallazgo</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Evidencia</w:t>
            </w:r>
          </w:p>
        </w:tc>
        <w:tc>
          <w:tcPr>
            <w:tcW w:type="dxa" w:w="36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Implicancia para el rediseño</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Contracción y ajuste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PIB -3 %, déficit en reducción y tipo de cambio flexible</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Control de costos, riesgo financiero y cumplimiento como ejes aplicados</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Empleo formal escaso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Informalidad del 84,2 %</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Preparación para el ejercicio independiente y la pequeña empresa</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Brecha tecnológica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75 % pide software y sistemas de gestión empresarial; 5 % los recibió</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Eje tecnológico transversal con laboratorio</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Falta de experiencia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Barrera de contratación según el BID; 88 % pide pasantías</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Prácticas y proyectos con organizaciones reales</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Techo jerárquico y salarial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77 % en nivel técnico operativo; 87 % gana hasta Bs 5.000</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Liderazgo, gestión, consultoría y servicios de mayor valor</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Núcleo contable sólido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Contabilidad Básica con 65 % de pertinencia</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Conservar y actualizar el núcleo</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Titulación lenta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21 % sin título</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Modalidades de graduación integradas al último año</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3.4</w:t>
        <w:tab/>
      </w:r>
      <w:r>
        <w:rPr>
          <w:rFonts w:ascii="Century Gothic" w:hAnsi="Century Gothic" w:cs="Century Gothic" w:eastAsia="Century Gothic"/>
          <w:b/>
          <w:i w:val="0"/>
          <w:sz w:val="24"/>
        </w:rPr>
        <w:t>Análisis del contexto de cambios y tendencias de la ciencia y tecnología a nivel global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3.4.1</w:t>
        <w:tab/>
      </w:r>
      <w:r>
        <w:rPr>
          <w:rFonts w:ascii="Century Gothic" w:hAnsi="Century Gothic" w:cs="Century Gothic" w:eastAsia="Century Gothic"/>
          <w:b/>
          <w:i w:val="0"/>
          <w:sz w:val="22"/>
        </w:rPr>
        <w:t>Avance de la tecnología y su impacto en la profesión</w:t>
      </w:r>
    </w:p>
    <w:p>
      <w:pPr>
        <w:spacing w:before="0" w:after="200" w:line="240" w:lineRule="auto"/>
        <w:jc w:val="both"/>
      </w:pPr>
      <w:r>
        <w:rPr>
          <w:rFonts w:ascii="Century Gothic" w:hAnsi="Century Gothic" w:cs="Century Gothic" w:eastAsia="Century Gothic"/>
          <w:b w:val="0"/>
          <w:i w:val="0"/>
          <w:sz w:val="20"/>
        </w:rPr>
        <w:t>La cadena de valor contable tradicional comprende la captura, la clasificación, el registro, la consolidación y la verificación por muestreo. Sus primeros eslabones son tareas estructuradas que la automatización ejecuta con ventaja; en los finales se encuentran el juicio profesional, la evaluación de riesgos, la interpretación y el aseguramiento, tareas que la automatización no reemplaza y cuyo valor aumenta. Antes el contador sumaba; hoy el sistema suma y el contador interpreta riesgos y controles.</w:t>
      </w:r>
    </w:p>
    <w:p>
      <w:pPr>
        <w:keepNext/>
        <w:spacing w:before="40" w:after="80" w:line="240" w:lineRule="auto"/>
        <w:jc w:val="center"/>
      </w:pPr>
      <w:r>
        <w:rPr>
          <w:rFonts w:ascii="Century Gothic" w:hAnsi="Century Gothic" w:cs="Century Gothic" w:eastAsia="Century Gothic"/>
          <w:b/>
          <w:i w:val="0"/>
          <w:sz w:val="20"/>
        </w:rPr>
        <w:t>Cuadro 23. Evidencia sobre tecnología y profesión contable</w:t>
      </w:r>
    </w:p>
    <w:tbl>
      <w:tblPr>
        <w:tblW w:type="auto" w:w="0"/>
        <w:jc w:val="center"/>
        <w:tblLayout w:type="fixed"/>
        <w:tblLook w:firstColumn="1" w:firstRow="1" w:lastColumn="0" w:lastRow="0" w:noHBand="0" w:noVBand="1" w:val="04A0"/>
      </w:tblPr>
      <w:tblGrid>
        <w:gridCol w:w="3969"/>
        <w:gridCol w:w="3118"/>
        <w:gridCol w:w="1984"/>
      </w:tblGrid>
      <w:tr>
        <w:trPr>
          <w:tblHeader/>
        </w:trPr>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Evidencia</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Dato</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Fuente</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Competencias nucleares que cambiarán hacia 2030</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39 %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WEF (2025)</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Competencia de mayor crecimiento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Inteligencia artificial y big data</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WEF (2025)</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Puestos de contabilidad, teneduría, nómina y auditoría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Entre los de mayor declive proyectado hacia 2030</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WEF (2025)</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Firmas contables que usan inteligencia artificial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9 % en 2024 y 41 % en 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Wolters Kluwer (2025)</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Líderes financieros que ven a la inteligencia artificial como la tecnología más transformadora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88 %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AICPA y CIMA (2025)</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Organizaciones muy bien preparadas para ello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AICPA y CIMA (2025)</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Principal barrera: falta de competencias y talento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50 %</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AICPA y CIMA (2025)</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El dato del Foro Económico Mundial (WEF) tiene un antecedente académico contemporáneo del Plan 2013: el estudio de Frey y Osborne (2013) asignó a la ocupación de contadores y auditores una de las probabilidades de automatización más altas entre las profesiones analizadas. Más de una década después, la evidencia confirma la dirección de aquel pronóstico, aunque en forma de transformación del contenido del trabajo antes que de sustitución del profesional: las firmas que ofrecen servicios de asesoría pasaron del 83 % al 93 % entre 2024 y 2025, según Wolters Kluwer, lo que muestra que el valor se desplaza del registro hacia el análisis y el consejo.</w:t>
      </w:r>
    </w:p>
    <w:p>
      <w:pPr>
        <w:spacing w:before="0" w:after="200" w:line="240" w:lineRule="auto"/>
        <w:jc w:val="both"/>
      </w:pPr>
      <w:r>
        <w:rPr>
          <w:rFonts w:ascii="Century Gothic" w:hAnsi="Century Gothic" w:cs="Century Gothic" w:eastAsia="Century Gothic"/>
          <w:b w:val="0"/>
          <w:i w:val="0"/>
          <w:sz w:val="20"/>
        </w:rPr>
        <w:t>Lo que declina es el trabajo de registro y procesamiento; lo que crece es el juicio, el análisis y la asesoría. La restricción del cambio no es tecnológica sino formativa, y ese es el espacio de intervención de la Universidad. La convergencia entre el dato global, el declive del perfil operativo, y el dato local, el 77 % de egresados dependientes en nivel técnico operativo, es el núcleo de la justificación.</w:t>
      </w:r>
    </w:p>
    <w:p>
      <w:pPr>
        <w:keepNext/>
        <w:spacing w:before="40" w:after="80" w:line="240" w:lineRule="auto"/>
        <w:jc w:val="center"/>
      </w:pPr>
      <w:r>
        <w:rPr>
          <w:rFonts w:ascii="Century Gothic" w:hAnsi="Century Gothic" w:cs="Century Gothic" w:eastAsia="Century Gothic"/>
          <w:b/>
          <w:i w:val="0"/>
          <w:sz w:val="20"/>
        </w:rPr>
        <w:t>Cuadro 24. Tecnologías que transforman la práctica contable y su consecuencia formativa</w:t>
      </w:r>
    </w:p>
    <w:tbl>
      <w:tblPr>
        <w:tblW w:type="auto" w:w="0"/>
        <w:jc w:val="center"/>
        <w:tblLayout w:type="fixed"/>
        <w:tblLook w:firstColumn="1" w:firstRow="1" w:lastColumn="0" w:lastRow="0" w:noHBand="0" w:noVBand="1" w:val="04A0"/>
      </w:tblPr>
      <w:tblGrid>
        <w:gridCol w:w="2154"/>
        <w:gridCol w:w="3402"/>
        <w:gridCol w:w="3515"/>
      </w:tblGrid>
      <w:tr>
        <w:trPr>
          <w:tblHeader/>
        </w:trPr>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Tecnología</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Qué cambia en la práctica</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Consecuencia formativa</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Inteligencia artificial generativa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Clasificación de transacciones, redacción asistida de notas e informes y extracción de información documental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Operar las herramientas con criterio y auditar su confiabilidad y sesgo</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Analítica de datos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Análisis del universo de transacciones en lugar del muestreo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Estadística orientada a la evidencia de auditoría e inteligencia de negocios</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Automatización robótica de procesos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Conciliaciones, cargas y reportes automáticos; desaparece el empleo de entrada basado en el registro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Diseño y validación de procesos automatizados y control de excepciones</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Sistemas de gestión empresarial y nube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La contabilidad se integra al flujo operativo en tiempo real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Dominio procedimental de estos sistemas en laboratorio</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Registro distribuido o blockchain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Registros compartidos e inmutables y activos digitales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Implicaciones sobre confiabilidad, medición y revelación</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Ciberseguridad y gobernanza de datos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El riesgo se desplaza del error de registro al riesgo tecnológico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Controles generales de tecnologías de la información y control interno en entornos informatizados, conforme a la NIA 315 revisada</w:t>
            </w:r>
          </w:p>
        </w:tc>
      </w:tr>
    </w:tbl>
    <w:p>
      <w:pPr>
        <w:spacing w:before="0" w:after="120" w:line="240" w:lineRule="auto"/>
        <w:jc w:val="left"/>
      </w:pP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3.4.2</w:t>
        <w:tab/>
      </w:r>
      <w:r>
        <w:rPr>
          <w:rFonts w:ascii="Century Gothic" w:hAnsi="Century Gothic" w:cs="Century Gothic" w:eastAsia="Century Gothic"/>
          <w:b/>
          <w:i w:val="0"/>
          <w:sz w:val="22"/>
        </w:rPr>
        <w:t>Ampliación del objeto de la profesión</w:t>
      </w:r>
    </w:p>
    <w:p>
      <w:pPr>
        <w:spacing w:before="0" w:after="200" w:line="240" w:lineRule="auto"/>
        <w:jc w:val="both"/>
      </w:pPr>
      <w:r>
        <w:rPr>
          <w:rFonts w:ascii="Century Gothic" w:hAnsi="Century Gothic" w:cs="Century Gothic" w:eastAsia="Century Gothic"/>
          <w:b w:val="0"/>
          <w:i w:val="0"/>
          <w:sz w:val="20"/>
        </w:rPr>
        <w:t>Las NIIF S1 y S2 del ISSB y la NIAS 5000 del IAASB incorporan al reporte y al aseguramiento la información de sostenibilidad, medida también en unidades no monetarias, como emisiones, indicadores sociales y de gobernanza. El objeto de la profesión se amplía así de la información financiera, operativa y de gestión a la información financiera, operativa, de gestión y de sostenibilidad, como lo define el Perfil Profesional 2026.</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3.4.3</w:t>
        <w:tab/>
      </w:r>
      <w:r>
        <w:rPr>
          <w:rFonts w:ascii="Century Gothic" w:hAnsi="Century Gothic" w:cs="Century Gothic" w:eastAsia="Century Gothic"/>
          <w:b/>
          <w:i w:val="0"/>
          <w:sz w:val="22"/>
        </w:rPr>
        <w:t>Manifestación nacional</w:t>
      </w:r>
    </w:p>
    <w:p>
      <w:pPr>
        <w:spacing w:before="0" w:after="200" w:line="240" w:lineRule="auto"/>
        <w:jc w:val="both"/>
      </w:pPr>
      <w:r>
        <w:rPr>
          <w:rFonts w:ascii="Century Gothic" w:hAnsi="Century Gothic" w:cs="Century Gothic" w:eastAsia="Century Gothic"/>
          <w:b w:val="0"/>
          <w:i w:val="0"/>
          <w:sz w:val="20"/>
        </w:rPr>
        <w:t>La digitalización del ciclo económico boliviano es verificable: las transacciones con código QR pasaron de 447 mil en 2020 a 135 millones en 2023, con montos que subieron de Bs 245 millones a Bs 63.561 millones, según la ASFI, y el Sistema de Facturación en Línea digitalizó el ciclo documental tributario. La materia prima del trabajo contable boliviano es hoy un dato digital.</w:t>
      </w:r>
    </w:p>
    <w:p>
      <w:pPr>
        <w:keepNext/>
        <w:spacing w:before="40" w:after="80" w:line="240" w:lineRule="auto"/>
        <w:jc w:val="center"/>
      </w:pPr>
      <w:r>
        <w:rPr>
          <w:rFonts w:ascii="Century Gothic" w:hAnsi="Century Gothic" w:cs="Century Gothic" w:eastAsia="Century Gothic"/>
          <w:b/>
          <w:i w:val="0"/>
          <w:sz w:val="20"/>
        </w:rPr>
        <w:t>Cuadro 25. Digitalización de los medios de pago en Bolivia</w:t>
      </w:r>
    </w:p>
    <w:tbl>
      <w:tblPr>
        <w:tblW w:type="auto" w:w="0"/>
        <w:jc w:val="center"/>
        <w:tblLayout w:type="fixed"/>
        <w:tblLook w:firstColumn="1" w:firstRow="1" w:lastColumn="0" w:lastRow="0" w:noHBand="0" w:noVBand="1" w:val="04A0"/>
      </w:tblPr>
      <w:tblGrid>
        <w:gridCol w:w="3402"/>
        <w:gridCol w:w="3685"/>
        <w:gridCol w:w="1984"/>
      </w:tblGrid>
      <w:tr>
        <w:trPr>
          <w:tblHeader/>
        </w:trPr>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36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Valor</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Periodo</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Transacciones con código QR</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 447 mil a 135 millones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2020-2023</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Monto transado con QR</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 Bs 245 millones a Bs 63.561 millones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2020-2023</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Transacciones con billeteras móviles</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75 % más en número y 7,2 veces más en valor</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2019-2023</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Billeteras móviles habilitadas</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Más de 3,1 millones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 la fecha del informe</w:t>
            </w:r>
          </w:p>
        </w:tc>
      </w:tr>
      <w:tr>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Tarjetas en circulación</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 5,1 a 6,9 millones, 38 % más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2019-2023</w:t>
            </w:r>
          </w:p>
        </w:tc>
      </w:tr>
    </w:tbl>
    <w:p>
      <w:pPr>
        <w:spacing w:before="40" w:after="200" w:line="240" w:lineRule="auto"/>
        <w:jc w:val="left"/>
      </w:pPr>
      <w:r>
        <w:rPr>
          <w:rFonts w:ascii="Century Gothic" w:hAnsi="Century Gothic" w:cs="Century Gothic" w:eastAsia="Century Gothic"/>
          <w:b w:val="0"/>
          <w:i w:val="0"/>
          <w:sz w:val="16"/>
        </w:rPr>
        <w:t>Fuente: ASFI (2025).</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3.4.4</w:t>
        <w:tab/>
      </w:r>
      <w:r>
        <w:rPr>
          <w:rFonts w:ascii="Century Gothic" w:hAnsi="Century Gothic" w:cs="Century Gothic" w:eastAsia="Century Gothic"/>
          <w:b/>
          <w:i w:val="0"/>
          <w:sz w:val="22"/>
        </w:rPr>
        <w:t>Tendencias en la educación contable</w:t>
      </w:r>
    </w:p>
    <w:p>
      <w:pPr>
        <w:spacing w:before="0" w:after="200" w:line="240" w:lineRule="auto"/>
        <w:jc w:val="both"/>
      </w:pPr>
      <w:r>
        <w:rPr>
          <w:rFonts w:ascii="Century Gothic" w:hAnsi="Century Gothic" w:cs="Century Gothic" w:eastAsia="Century Gothic"/>
          <w:b w:val="0"/>
          <w:i w:val="0"/>
          <w:sz w:val="20"/>
        </w:rPr>
        <w:t>La transformación alcanza también a la didáctica de la disciplina. Las tendencias consolidadas, concordantes con las IES y con el enfoque por competencias de la Resolución HCU N.º 032/2025, son el paso del conocimiento declarativo al resultado de aprendizaje observable, dado que el acceso inmediato a la normativa reduce el valor de la memorización; el aprendizaje situado y basado en proyectos reales; la simulación en entornos profesionales con software contable, sistemas de gestión empresarial y plataformas tributarias; la evaluación auténtica mediante portafolios, rúbricas y demostraciones; la formación modular con grados intermedios; y la formación a lo largo de la vida, prevista en la IES 7, que convierte al pregrado en el inicio de una trayectoria profesional.</w:t>
      </w:r>
    </w:p>
    <w:p>
      <w:pPr>
        <w:keepNext/>
        <w:spacing w:before="40" w:after="80" w:line="240" w:lineRule="auto"/>
        <w:jc w:val="center"/>
      </w:pPr>
      <w:r>
        <w:rPr>
          <w:rFonts w:ascii="Century Gothic" w:hAnsi="Century Gothic" w:cs="Century Gothic" w:eastAsia="Century Gothic"/>
          <w:b/>
          <w:i w:val="0"/>
          <w:sz w:val="20"/>
        </w:rPr>
        <w:t>Cuadro 26. Principales brechas tecnológicas y científicas del Plan 2013</w:t>
      </w:r>
    </w:p>
    <w:tbl>
      <w:tblPr>
        <w:tblW w:type="auto" w:w="0"/>
        <w:jc w:val="center"/>
        <w:tblLayout w:type="fixed"/>
        <w:tblLook w:firstColumn="1" w:firstRow="1" w:lastColumn="0" w:lastRow="0" w:noHBand="0" w:noVBand="1" w:val="04A0"/>
      </w:tblPr>
      <w:tblGrid>
        <w:gridCol w:w="1984"/>
        <w:gridCol w:w="2835"/>
        <w:gridCol w:w="2835"/>
        <w:gridCol w:w="1417"/>
      </w:tblGrid>
      <w:tr>
        <w:trPr>
          <w:tblHeader/>
        </w:trPr>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Dimensión</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Estado del arte</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Plan 2013</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Brecha</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Captura y procesamiento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Automatizados con sistemas de gestión empresarial, facturación electrónica y automatización robótica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Registro manual y semiautomatizado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Crítica</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Evidencia de auditoría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Analítica, auditoría continua y poblaciones completas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Muestreo tradicional</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Alta</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Entorno de tecnologías de la información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Exigencia de la NIA 315 revisada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Auditoría de sistemas aislada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Alta</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Objeto del reporte</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Información financiera y de sostenibilidad</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Solo financiera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Crítica</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Herramientas de inteligencia artificial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Aplicaciones para auditoria y finanzas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Sin contenido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Total</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Idioma extranjero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Inglés técnico aplicado a la profesión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Sin formación</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Total</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3.5</w:t>
        <w:tab/>
      </w:r>
      <w:r>
        <w:rPr>
          <w:rFonts w:ascii="Century Gothic" w:hAnsi="Century Gothic" w:cs="Century Gothic" w:eastAsia="Century Gothic"/>
          <w:b/>
          <w:i w:val="0"/>
          <w:sz w:val="24"/>
        </w:rPr>
        <w:t>Contextualización de la oferta curricular en la realidad nacional e internacional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3.5.1</w:t>
        <w:tab/>
      </w:r>
      <w:r>
        <w:rPr>
          <w:rFonts w:ascii="Century Gothic" w:hAnsi="Century Gothic" w:cs="Century Gothic" w:eastAsia="Century Gothic"/>
          <w:b/>
          <w:i w:val="0"/>
          <w:sz w:val="22"/>
        </w:rPr>
        <w:t>Realidad nacional</w:t>
      </w:r>
    </w:p>
    <w:p>
      <w:pPr>
        <w:spacing w:before="0" w:after="200" w:line="240" w:lineRule="auto"/>
        <w:jc w:val="both"/>
      </w:pPr>
      <w:r>
        <w:rPr>
          <w:rFonts w:ascii="Century Gothic" w:hAnsi="Century Gothic" w:cs="Century Gothic" w:eastAsia="Century Gothic"/>
          <w:b w:val="0"/>
          <w:i w:val="0"/>
          <w:sz w:val="20"/>
        </w:rPr>
        <w:t>La Constitución Política del Estado reconoce un modelo económico plural, integrado por formas de organización comunitaria, estatal, privada y social cooperativa. La formación del Contador Público Autorizado debe responder a todas ellas: al sector público, regido por la Ley N.º 1178 y el control de la Contraloría General del Estado; al sector privado, compuesto mayoritariamente por pequeñas y medianas unidades que requieren la NIIF para las PYMES y la NIA para Entidades Menos Complejas; al sector cooperativo y financiero, regido por la Ley N.º 393; y a la economía informal, que demanda servicios de formalización. La demanda de auditoría forense frente a la corrupción, de NIIF y tributación actualizadas completa el cuadro de necesidades nacionales.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3.5.2</w:t>
        <w:tab/>
      </w:r>
      <w:r>
        <w:rPr>
          <w:rFonts w:ascii="Century Gothic" w:hAnsi="Century Gothic" w:cs="Century Gothic" w:eastAsia="Century Gothic"/>
          <w:b/>
          <w:i w:val="0"/>
          <w:sz w:val="22"/>
        </w:rPr>
        <w:t>Oferta nacional similar</w:t>
      </w:r>
    </w:p>
    <w:p>
      <w:pPr>
        <w:keepNext/>
        <w:spacing w:before="40" w:after="80" w:line="240" w:lineRule="auto"/>
        <w:jc w:val="center"/>
      </w:pPr>
      <w:r>
        <w:rPr>
          <w:rFonts w:ascii="Century Gothic" w:hAnsi="Century Gothic" w:cs="Century Gothic" w:eastAsia="Century Gothic"/>
          <w:b/>
          <w:i w:val="0"/>
          <w:sz w:val="20"/>
        </w:rPr>
        <w:t>Cuadro 27. Contaduría Pública en las universidades mayores del Sistema</w:t>
      </w:r>
    </w:p>
    <w:tbl>
      <w:tblPr>
        <w:tblW w:type="auto" w:w="0"/>
        <w:jc w:val="center"/>
        <w:tblLayout w:type="fixed"/>
        <w:tblLook w:firstColumn="1" w:firstRow="1" w:lastColumn="0" w:lastRow="0" w:noHBand="0" w:noVBand="1" w:val="04A0"/>
      </w:tblPr>
      <w:tblGrid>
        <w:gridCol w:w="5669"/>
        <w:gridCol w:w="3402"/>
      </w:tblGrid>
      <w:tr>
        <w:trPr>
          <w:tblHeader/>
        </w:trPr>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Universidad</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Título profesional</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Universidad Mayor, Real y Pontificia de San Francisco Xavier de Chuquisaca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Contador Público Autorizado</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Universidad Mayor de San Simón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Contador Público Autorizado</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Universidad Autónoma Gabriel René Moreno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Contador Público Autorizado</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Universidad Mayor de San Andrés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Contador Público Autorizado, desde la Resolución HCU N.º 438/2012</w:t>
            </w:r>
          </w:p>
        </w:tc>
      </w:tr>
    </w:tbl>
    <w:p>
      <w:pPr>
        <w:spacing w:before="40" w:after="200" w:line="240" w:lineRule="auto"/>
        <w:jc w:val="left"/>
      </w:pPr>
      <w:r>
        <w:rPr>
          <w:rFonts w:ascii="Century Gothic" w:hAnsi="Century Gothic" w:cs="Century Gothic" w:eastAsia="Century Gothic"/>
          <w:b w:val="0"/>
          <w:i w:val="0"/>
          <w:sz w:val="16"/>
        </w:rPr>
        <w:t>Fuente: CEUB, registro de carreras oficiales del Sistema, y Resolución HCU N.º 438/2012.</w:t>
      </w:r>
    </w:p>
    <w:p>
      <w:pPr>
        <w:spacing w:before="0" w:after="200" w:line="240" w:lineRule="auto"/>
        <w:jc w:val="both"/>
      </w:pPr>
      <w:r>
        <w:rPr>
          <w:rFonts w:ascii="Century Gothic" w:hAnsi="Century Gothic" w:cs="Century Gothic" w:eastAsia="Century Gothic"/>
          <w:b w:val="0"/>
          <w:i w:val="0"/>
          <w:sz w:val="20"/>
        </w:rPr>
        <w:t>Las cuatro universidades otorgan el título de Contador Público Autorizado. Sin embargo, el perfil de egreso del Plan 2013 de la UMSA conserva la orientación del modelo de Auditoría Financiera, mientras que la Reunión Sectorial de 2024 aprobó un perfil común del Contador Público Autorizado para todo el Sistema. El rediseño alinea el perfil con ese acuerdo y asegura la comparabilidad para convalidaciones y movilidad estudiantil. Frente a la oferta privada paceña, con mejor infraestructura tecnológica, pasantías y titulación rápida, identificadas como amenaza en el FODA, la ventaja de la UMSA reside en su profundidad técnica, su cuerpo docente, la gratuidad y la amplitud de su bloque de aseguramiento; el rediseño debe preservar esos activos y cerrar las desventajas evitables. Según el Diagnóstico de la Carrera, la carga de 6.000 horas en régimen anual sitúa a la UMSA en el límite superior del rango de 4.500 a 6.000 horas compatibilizado por la Reunión Sectorial.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3.5.3</w:t>
        <w:tab/>
      </w:r>
      <w:r>
        <w:rPr>
          <w:rFonts w:ascii="Century Gothic" w:hAnsi="Century Gothic" w:cs="Century Gothic" w:eastAsia="Century Gothic"/>
          <w:b/>
          <w:i w:val="0"/>
          <w:sz w:val="22"/>
        </w:rPr>
        <w:t>Oferta internacional de referencia</w:t>
      </w:r>
    </w:p>
    <w:p>
      <w:pPr>
        <w:spacing w:before="0" w:after="200" w:line="240" w:lineRule="auto"/>
        <w:jc w:val="both"/>
      </w:pPr>
      <w:r>
        <w:rPr>
          <w:rFonts w:ascii="Century Gothic" w:hAnsi="Century Gothic" w:cs="Century Gothic" w:eastAsia="Century Gothic"/>
          <w:b w:val="0"/>
          <w:i w:val="0"/>
          <w:sz w:val="20"/>
        </w:rPr>
        <w:t>La comparación internacional se orienta por tres marcos: las Normas Internacionales de Educación de la IFAC, estándar universal de los programas de formación contable; el Model Accounting Curriculum de UNCTAD-ISAR (Grupo Intergubernamental de Expertos de las Naciones Unidas en Normas Internacionales de Contabilidad y Presentación de Informes), diseñado para economías en desarrollo y en transición; y la Asociación Interamericana de Contabilidad, que promueve la armonización curricular en el continente. Con esos marcos como referencia se analizaron tres programas de la región:</w:t>
      </w:r>
    </w:p>
    <w:p>
      <w:pPr>
        <w:keepNext/>
        <w:spacing w:before="40" w:after="80" w:line="240" w:lineRule="auto"/>
        <w:jc w:val="center"/>
      </w:pPr>
      <w:r>
        <w:rPr>
          <w:rFonts w:ascii="Century Gothic" w:hAnsi="Century Gothic" w:cs="Century Gothic" w:eastAsia="Century Gothic"/>
          <w:b/>
          <w:i w:val="0"/>
          <w:sz w:val="20"/>
        </w:rPr>
        <w:t>Cuadro 28. Programas internacionales de referencia</w:t>
      </w:r>
    </w:p>
    <w:tbl>
      <w:tblPr>
        <w:tblW w:type="auto" w:w="0"/>
        <w:jc w:val="center"/>
        <w:tblLayout w:type="fixed"/>
        <w:tblLook w:firstColumn="1" w:firstRow="1" w:lastColumn="0" w:lastRow="0" w:noHBand="0" w:noVBand="1" w:val="04A0"/>
      </w:tblPr>
      <w:tblGrid>
        <w:gridCol w:w="1361"/>
        <w:gridCol w:w="2154"/>
        <w:gridCol w:w="1928"/>
        <w:gridCol w:w="1814"/>
        <w:gridCol w:w="1814"/>
      </w:tblGrid>
      <w:tr>
        <w:trPr>
          <w:tblHeader/>
        </w:trPr>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Rasgo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 de Chile, Contador Auditor</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UNAM, México, Licenciatura en Contaduría, plan 2025</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 Jorge Tadeo Lozano, Colombia, Contaduría Pública</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UMSA, Plan 2013</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Duración</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10 semestres</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 semestres y 448 créditos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133 créditos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 años y 6.000 horas</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Tecnología y analítica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Programación para analítica de datos, machine learning y auditoría de tecnologías de la información; minor en Business &amp; Data Analytics</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Tecnologías de información; tecnologías financieras y emergentes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Visualización y análisis de datos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Sistemas bajo un paradigma anterior</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Idioma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Inglés I a V obligatorio</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Inglés B1 como requisito de titulación</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Inglés A1 a B2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Ausente</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Práctica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Práctica profesional obligatoria</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Servicio social de 480 horas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Sin dato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Ausente</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Sostenibilidad y ética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Sin dato</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Desarrollo sostenible en las organizaciones; ética obligatoria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Responsabilidad social y ética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Ética al final del plan; sin sostenibilidad</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Calidad</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Acreditación internacional AACSB desde 2015</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Sin dato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Acreditación institucional de alta calidad</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Acreditación nacional de 2015</w:t>
            </w:r>
          </w:p>
        </w:tc>
      </w:tr>
    </w:tbl>
    <w:p>
      <w:pPr>
        <w:spacing w:before="40" w:after="200" w:line="240" w:lineRule="auto"/>
        <w:jc w:val="left"/>
      </w:pPr>
      <w:r>
        <w:rPr>
          <w:rFonts w:ascii="Century Gothic" w:hAnsi="Century Gothic" w:cs="Century Gothic" w:eastAsia="Century Gothic"/>
          <w:b w:val="0"/>
          <w:i w:val="0"/>
          <w:sz w:val="16"/>
        </w:rPr>
        <w:t>Fuente: Universidad de Chile (2024); UNAM (2025); Universidad Jorge Tadeo Lozano (s. f.).</w:t>
      </w:r>
    </w:p>
    <w:p>
      <w:pPr>
        <w:spacing w:before="0" w:after="200" w:line="240" w:lineRule="auto"/>
        <w:jc w:val="both"/>
      </w:pPr>
      <w:r>
        <w:rPr>
          <w:rFonts w:ascii="Century Gothic" w:hAnsi="Century Gothic" w:cs="Century Gothic" w:eastAsia="Century Gothic"/>
          <w:b w:val="0"/>
          <w:i w:val="0"/>
          <w:sz w:val="20"/>
        </w:rPr>
        <w:t>Los tres referentes comparten lo que el Plan 2013 no tiene: tecnología y analítica en la malla, idioma inglés y una experiencia práctica o de servicio obligatoria; el plan de la UNAM incorpora además la sostenibilidad como asignatura obligatoria. El referente chileno muestra, asimismo, que la acreditación internacional, meta de la Visión 2030 de la UMSA, se apoya en esos componentes. El rediseño sitúa a la Carrera en ese estándar y le suma un activo propio: la amplitud de su bloque de aseguramiento, con ocho gabinetes especializados, financiero, tributario, gubernamental, de sistemas, ambiental, de proyectos, forense y de entidades financieras, además de Auditoría Operativa.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3.5.4</w:t>
        <w:tab/>
      </w:r>
      <w:r>
        <w:rPr>
          <w:rFonts w:ascii="Century Gothic" w:hAnsi="Century Gothic" w:cs="Century Gothic" w:eastAsia="Century Gothic"/>
          <w:b/>
          <w:i w:val="0"/>
          <w:sz w:val="22"/>
        </w:rPr>
        <w:t>Alineación con las Normas Internacionales de Educación de la IFAC</w:t>
      </w:r>
    </w:p>
    <w:p>
      <w:pPr>
        <w:spacing w:before="0" w:after="200" w:line="240" w:lineRule="auto"/>
        <w:jc w:val="both"/>
      </w:pPr>
      <w:r>
        <w:rPr>
          <w:rFonts w:ascii="Century Gothic" w:hAnsi="Century Gothic" w:cs="Century Gothic" w:eastAsia="Century Gothic"/>
          <w:b w:val="0"/>
          <w:i w:val="0"/>
          <w:sz w:val="20"/>
        </w:rPr>
        <w:t>Para asegurar la comparabilidad internacional, el reconocimiento profesional y la calidad académica, el Plan de Estudios 2027 adopta los estándares emitidos por el Consejo de Normas Internacionales de Formación en Contaduría (IAESB) de la IFAC, con los siguientes mecanismos de implementación:</w:t>
      </w:r>
    </w:p>
    <w:p>
      <w:pPr>
        <w:keepNext/>
        <w:spacing w:before="40" w:after="80" w:line="240" w:lineRule="auto"/>
        <w:jc w:val="center"/>
      </w:pPr>
      <w:r>
        <w:rPr>
          <w:rFonts w:ascii="Century Gothic" w:hAnsi="Century Gothic" w:cs="Century Gothic" w:eastAsia="Century Gothic"/>
          <w:b/>
          <w:i w:val="0"/>
          <w:sz w:val="20"/>
        </w:rPr>
        <w:t>Cuadro 29. Normas Internacionales de Educación y su implementación en el Plan 2027</w:t>
      </w:r>
    </w:p>
    <w:tbl>
      <w:tblPr>
        <w:tblW w:type="auto" w:w="0"/>
        <w:jc w:val="center"/>
        <w:tblLayout w:type="fixed"/>
        <w:tblLook w:firstColumn="1" w:firstRow="1" w:lastColumn="0" w:lastRow="0" w:noHBand="0" w:noVBand="1" w:val="04A0"/>
      </w:tblPr>
      <w:tblGrid>
        <w:gridCol w:w="907"/>
        <w:gridCol w:w="2835"/>
        <w:gridCol w:w="5329"/>
      </w:tblGrid>
      <w:tr>
        <w:trPr>
          <w:tblHeader/>
        </w:trPr>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Norma</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Materia</w:t>
            </w:r>
          </w:p>
        </w:tc>
        <w:tc>
          <w:tcPr>
            <w:tcW w:type="dxa" w:w="532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Mecanismo de implementación</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1</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Requisitos de ingreso al programa</w:t>
            </w:r>
          </w:p>
        </w:tc>
        <w:tc>
          <w:tcPr>
            <w:tcW w:type="dxa" w:w="53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Admisión transparente e inclusiva mediante el Curso Prefacultativo, la Prueba de Suficiencia Académica y la Admisión Especial</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2</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Competencia técnica</w:t>
            </w:r>
          </w:p>
        </w:tc>
        <w:tc>
          <w:tcPr>
            <w:tcW w:type="dxa" w:w="53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Estructura curricular equilibrada en información financiera y no financiera, aseguramiento, finanzas, gobierno corporativo, tecnologías de la información y sostenibilidad, junto con las áreas de Administración, Derecho, Economía y Matemáticas</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3</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Habilidades profesionales</w:t>
            </w:r>
          </w:p>
        </w:tc>
        <w:tc>
          <w:tcPr>
            <w:tcW w:type="dxa" w:w="53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Formación en habilidades intelectuales, analíticas, tecnológicas, de comunicación en español e inglés técnico, interpersonales y de gestión</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4</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Valores, ética y actitudes profesionales</w:t>
            </w:r>
          </w:p>
        </w:tc>
        <w:tc>
          <w:tcPr>
            <w:tcW w:type="dxa" w:w="53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Ética transversal bajo los cinco principios del Código Internacional de Ética del IESBA: integridad, objetividad, competencia y diligencia profesionales, confidencialidad y comportamiento profesional, con desarrollo del escepticismo profesional</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5</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Experiencia práctica</w:t>
            </w:r>
          </w:p>
        </w:tc>
        <w:tc>
          <w:tcPr>
            <w:tcW w:type="dxa" w:w="53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Pasantías preprofesionales, talleres de práctica profesional, laboratorios con datos reales y resolución de casos del sector público y empresarial</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6</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Evaluación de la competencia profesional</w:t>
            </w:r>
          </w:p>
        </w:tc>
        <w:tc>
          <w:tcPr>
            <w:tcW w:type="dxa" w:w="53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Evaluación auténtica mediante portafolios, simuladores y rúbricas, con demostración verificable de los resultados de aprendizaje</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7</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Desarrollo profesional continuo</w:t>
            </w:r>
          </w:p>
        </w:tc>
        <w:tc>
          <w:tcPr>
            <w:tcW w:type="dxa" w:w="53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Preparación para el autoaprendizaje y articulación del grado con el postgrado, diplomados, maestrías y certificaciones profesionales</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IES 8</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Competencia de los auditores profesionales</w:t>
            </w:r>
          </w:p>
        </w:tc>
        <w:tc>
          <w:tcPr>
            <w:tcW w:type="dxa" w:w="53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Formación especializada en servicios de aseguramiento financiero, gubernamental, ambiental y de sistemas bajo los pronunciamientos nacionales e internacionales</w:t>
            </w:r>
          </w:p>
        </w:tc>
      </w:tr>
    </w:tbl>
    <w:p>
      <w:pPr>
        <w:spacing w:before="0" w:after="120" w:line="240" w:lineRule="auto"/>
        <w:jc w:val="left"/>
      </w:pPr>
    </w:p>
    <w:p>
      <w:pPr>
        <w:keepNext/>
        <w:spacing w:before="40" w:after="80" w:line="240" w:lineRule="auto"/>
        <w:jc w:val="center"/>
      </w:pPr>
      <w:r>
        <w:rPr>
          <w:rFonts w:ascii="Century Gothic" w:hAnsi="Century Gothic" w:cs="Century Gothic" w:eastAsia="Century Gothic"/>
          <w:b/>
          <w:i w:val="0"/>
          <w:sz w:val="20"/>
        </w:rPr>
        <w:t>Cuadro 30. Matriz comparativa entre el Plan 2013, la propuesta y los referentes</w:t>
      </w:r>
    </w:p>
    <w:tbl>
      <w:tblPr>
        <w:tblW w:type="auto" w:w="0"/>
        <w:jc w:val="center"/>
        <w:tblLayout w:type="fixed"/>
        <w:tblLook w:firstColumn="1" w:firstRow="1" w:lastColumn="0" w:lastRow="0" w:noHBand="0" w:noVBand="1" w:val="04A0"/>
      </w:tblPr>
      <w:tblGrid>
        <w:gridCol w:w="1474"/>
        <w:gridCol w:w="1814"/>
        <w:gridCol w:w="1928"/>
        <w:gridCol w:w="1814"/>
        <w:gridCol w:w="2041"/>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Dimensión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Plan 2013</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Propuesta de rediseño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Referentes nacionales</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Referentes internacionales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Perfil de egreso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Orientado a la auditoría financiera</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Contador Público Autorizado del Sistema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Perfil acordado en la Reunión Sectorial 2024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Contador o Contador Auditor</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Enfoque</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Objetivos y contenidos</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Competencias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En transición</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Resultados de aprendizaje según las IES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Tecnología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Paradigma anterior</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Eje transversal</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Heterogéneo</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Analítica y auditoría de tecnologías de la información obligatorias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Sostenibilidad</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Ausente</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Incorporada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Incipiente</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En incorporación, obligatoria en la UNAM</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Práctica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Ausente</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Obligatoria desde tercer año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Variable</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Obligatoria según la IES 5</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Idioma</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Ausente</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Inglés técnico progresivo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Recomendado por la Reunión Sectorial</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Obligatorio o requisito de titulación</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Evaluación</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Memorística</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Por evidencias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Predominantemente tradicional</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Por desempeño según la IES 6</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Salidas intermedias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Técnico Superior</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Técnico Universitario Medio y Técnico Superior articulados con el postgrado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Técnico Superior en algunas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Minors, microcredenciales y doble titulación</w:t>
            </w:r>
          </w:p>
        </w:tc>
      </w:tr>
    </w:tbl>
    <w:p>
      <w:pPr>
        <w:spacing w:before="0" w:after="120" w:line="240" w:lineRule="auto"/>
        <w:jc w:val="left"/>
      </w:pP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3.5.5</w:t>
        <w:tab/>
      </w:r>
      <w:r>
        <w:rPr>
          <w:rFonts w:ascii="Century Gothic" w:hAnsi="Century Gothic" w:cs="Century Gothic" w:eastAsia="Century Gothic"/>
          <w:b/>
          <w:i w:val="0"/>
          <w:sz w:val="22"/>
        </w:rPr>
        <w:t>Síntesis: necesidades de formación</w:t>
      </w:r>
    </w:p>
    <w:p>
      <w:pPr>
        <w:spacing w:before="0" w:after="200" w:line="240" w:lineRule="auto"/>
        <w:jc w:val="both"/>
      </w:pPr>
      <w:r>
        <w:rPr>
          <w:rFonts w:ascii="Century Gothic" w:hAnsi="Century Gothic" w:cs="Century Gothic" w:eastAsia="Century Gothic"/>
          <w:b w:val="0"/>
          <w:i w:val="0"/>
          <w:sz w:val="20"/>
        </w:rPr>
        <w:t>Las necesidades de formación que se derivan de la justificación, y que vinculan este punto con el perfil profesional, las competencias y los contenidos, son las siguientes:</w:t>
      </w:r>
    </w:p>
    <w:p>
      <w:pPr>
        <w:keepNext/>
        <w:spacing w:before="40" w:after="80" w:line="240" w:lineRule="auto"/>
        <w:jc w:val="center"/>
      </w:pPr>
      <w:r>
        <w:rPr>
          <w:rFonts w:ascii="Century Gothic" w:hAnsi="Century Gothic" w:cs="Century Gothic" w:eastAsia="Century Gothic"/>
          <w:b/>
          <w:i w:val="0"/>
          <w:sz w:val="20"/>
        </w:rPr>
        <w:t>Cuadro 31. Necesidades de formación que se derivan de la justificación</w:t>
      </w:r>
    </w:p>
    <w:tbl>
      <w:tblPr>
        <w:tblW w:type="auto" w:w="0"/>
        <w:jc w:val="center"/>
        <w:tblLayout w:type="fixed"/>
        <w:tblLook w:firstColumn="1" w:firstRow="1" w:lastColumn="0" w:lastRow="0" w:noHBand="0" w:noVBand="1" w:val="04A0"/>
      </w:tblPr>
      <w:tblGrid>
        <w:gridCol w:w="2835"/>
        <w:gridCol w:w="3402"/>
        <w:gridCol w:w="1020"/>
        <w:gridCol w:w="1814"/>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Necesidad de formación</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Evidencia principal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Subpunto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Dimensión del perfil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Perfil del Contador Público Autorizado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N.º 07/2024; perfil 2013 orientado a la auditoría financiera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3.2 y 3.5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Perfil de egreso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Conservar y actualizar el núcleo contable, tributario y de auditoría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65 % de pertinencia de Contabilidad Básica; NIIF para las PYMES, tercera edición; NIA 315 revisada; NIA para Entidades Menos Complejas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 y 3.2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Saber conocer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Información y aseguramiento de sostenibilidad</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CTNAC N.º 01/2024, exigible en 2027; NIAS 5000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3.2 y 3.4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Saber conocer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Eje tecnológico transversal para operar, auditar y juzgar</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Brecha de 43 a 51 puntos; 5 % recibió formación en software; uso de inteligencia artificial en firmas del 9 % al 41 %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 3.3 y 3.4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Saber hacer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Prácticas preprofesionales obligatorias desde tercer año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Artículo 8 de la Resolución HCU N.º 032/2025; 88 % las respalda; trabajo dirigido con 14,58 % de los titulados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 y 3.3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Saber hacer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Reorientar el área cuantitativa hacia matemática financiera, estadística y analítica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Álgebra, Cálculo y Matemáticas Actuariales, las menos pertinentes, entre 29 % y 42 %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Saber hacer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Liderazgo, gestión y comunicación evaluables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0 % en cargos gerenciales; brechas de 37 a 40 puntos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Saber ser y convivir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Ética transversal bajo el Código del IESBA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CTNAC N.º 01/2020; IES 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Saber ser y convivir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Inglés técnico contable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89 % de estudiantes y 83 % de docentes en el FODA; referentes internacionales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3.3 y 3.5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Saber ser y convivir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Evaluación auténtica y titulación integrada al último año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69,73 % titula por examen de grado; 21 % de egresados sin título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 y 3.3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Estructura curricular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Investigación articulada con el Instituto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0,16 % titula por tesis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Estructura curricular</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Flexibilidad y grados intermedios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85 % siente presión para abandonar; criterio de articulación del Artículo 11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3.2 y 3.3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Estructura curricular</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Decisión.</w:t>
      </w:r>
      <w:r>
        <w:rPr>
          <w:rFonts w:ascii="Century Gothic" w:hAnsi="Century Gothic" w:cs="Century Gothic" w:eastAsia="Century Gothic"/>
          <w:b w:val="0"/>
          <w:i w:val="0"/>
          <w:sz w:val="20"/>
        </w:rPr>
        <w:t xml:space="preserve"> Corresponde declarar la necesidad de rediseño curricular de la Licenciatura en Contaduría Pública conforme al Artículo 5 de la Resolución HCU N.º 032/2025. Su viabilidad exige, como condiciones de implementación, un programa de formación docente previo, el incremento progresivo de docentes a tiempo completo en el área de Atestación, un laboratorio con software de licencia académica o abierta, el desdoblamiento de los componentes prácticos para reducir la relación de 106 estudiantes por paralelo y una política de convenios para prácticas. Estas condiciones se desarrollan en los puntos 11 y 16.</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2"/>
    <w:lvlOverride w:ilvl="0">
      <w:startOverride w:val="1"/>
    </w:lvlOverride>
  </w:num>
  <w:num w:numId="902">
    <w:abstractNumId w:val="900"/>
    <w:lvlOverride w:ilvl="0">
      <w:startOverride w:val="1"/>
    </w:lvlOverride>
  </w:num>
  <w:num w:numId="903">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