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Aspectos Académicos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4.7</w:t>
        <w:tab/>
      </w:r>
      <w:r>
        <w:rPr>
          <w:rFonts w:ascii="Century Gothic" w:hAnsi="Century Gothic" w:cs="Century Gothic" w:eastAsia="Century Gothic"/>
          <w:b/>
          <w:i w:val="0"/>
          <w:sz w:val="24"/>
        </w:rPr>
        <w:t>Evaluación de aprendizajes (estrategias, métodos, tipos, procedimientos, instrumentos y pruebas a desarrollar)</w:t>
      </w:r>
    </w:p>
    <w:p>
      <w:pPr>
        <w:spacing w:before="0" w:after="200" w:line="240" w:lineRule="auto"/>
        <w:jc w:val="both"/>
      </w:pPr>
      <w:r>
        <w:rPr>
          <w:rFonts w:ascii="Century Gothic" w:hAnsi="Century Gothic" w:cs="Century Gothic" w:eastAsia="Century Gothic"/>
          <w:b w:val="0"/>
          <w:i w:val="0"/>
          <w:sz w:val="20"/>
        </w:rPr>
        <w:t xml:space="preserve">Conforme al Artículo 12 de la Resolución HCU N.º 032/2025, la evaluación se concibe como retroalimentación para la mejora continua de los aprendizajes, sus estrategias son coherentes con el Reglamento del Régimen Académico Estudiantil y el plan especifica la nota necesaria para aprobar cada asignatura. En el modelo por competencias, la evaluación pasa de la comprobación memorística a la </w:t>
      </w:r>
      <w:r>
        <w:rPr>
          <w:rFonts w:ascii="Century Gothic" w:hAnsi="Century Gothic" w:cs="Century Gothic" w:eastAsia="Century Gothic"/>
          <w:b/>
          <w:i w:val="0"/>
          <w:sz w:val="20"/>
        </w:rPr>
        <w:t>evaluación auténtica</w:t>
      </w:r>
      <w:r>
        <w:rPr>
          <w:rFonts w:ascii="Century Gothic" w:hAnsi="Century Gothic" w:cs="Century Gothic" w:eastAsia="Century Gothic"/>
          <w:b w:val="0"/>
          <w:i w:val="0"/>
          <w:sz w:val="20"/>
        </w:rPr>
        <w:t>, que verifica el logro de cada elemento de competencia mediante evidencias observables, en concordancia con la IES 6 de la IFAC.</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4.7.1</w:t>
        <w:tab/>
      </w:r>
      <w:r>
        <w:rPr>
          <w:rFonts w:ascii="Century Gothic" w:hAnsi="Century Gothic" w:cs="Century Gothic" w:eastAsia="Century Gothic"/>
          <w:b/>
          <w:i w:val="0"/>
          <w:sz w:val="22"/>
        </w:rPr>
        <w:t>Estrategias y tipos de evaluación</w:t>
      </w:r>
    </w:p>
    <w:p>
      <w:pPr>
        <w:keepNext/>
        <w:spacing w:before="40" w:after="80" w:line="240" w:lineRule="auto"/>
        <w:jc w:val="center"/>
      </w:pPr>
      <w:r>
        <w:rPr>
          <w:rFonts w:ascii="Century Gothic" w:hAnsi="Century Gothic" w:cs="Century Gothic" w:eastAsia="Century Gothic"/>
          <w:b/>
          <w:i w:val="0"/>
          <w:sz w:val="20"/>
        </w:rPr>
        <w:t>Cuadro 1. Tipos de evaluación</w:t>
      </w:r>
    </w:p>
    <w:tbl>
      <w:tblPr>
        <w:tblW w:type="auto" w:w="0"/>
        <w:jc w:val="center"/>
        <w:tblLayout w:type="fixed"/>
        <w:tblLook w:firstColumn="1" w:firstRow="1" w:lastColumn="0" w:lastRow="0" w:noHBand="0" w:noVBand="1" w:val="04A0"/>
      </w:tblPr>
      <w:tblGrid>
        <w:gridCol w:w="1814"/>
        <w:gridCol w:w="3572"/>
        <w:gridCol w:w="3685"/>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Tipo</w:t>
            </w:r>
          </w:p>
        </w:tc>
        <w:tc>
          <w:tcPr>
            <w:tcW w:type="dxa" w:w="357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Finalidad</w:t>
            </w:r>
          </w:p>
        </w:tc>
        <w:tc>
          <w:tcPr>
            <w:tcW w:type="dxa" w:w="36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Instrumentos y evidencias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Diagnóstica, al inicio</w:t>
            </w:r>
          </w:p>
        </w:tc>
        <w:tc>
          <w:tcPr>
            <w:tcW w:type="dxa" w:w="35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Identifica los saberes previos y las expectativas de aprendizaje, para cada tema y para la asignatura en su conjunto</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Pruebas de entrada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Cuestionarios de autodiagnóstico en la plataforma virtual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Lectura previa</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Formativa, durante el proceso</w:t>
            </w:r>
          </w:p>
        </w:tc>
        <w:tc>
          <w:tcPr>
            <w:tcW w:type="dxa" w:w="35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Retroalimenta el aprendizaje de forma oportuna y corrige desviaciones en el desempeño</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Portafolio digital de evidencias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Rúbricas de desempeño en taller y laboratorio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Casos y simuladores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Autoevaluación y coevaluación</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Sumativa, al cierre</w:t>
            </w:r>
          </w:p>
        </w:tc>
        <w:tc>
          <w:tcPr>
            <w:tcW w:type="dxa" w:w="35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Valora el nivel de logro de las competencias y determina la promoción</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Pruebas escritas individuales y grupales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Defensa de proyectos integradores e informes técnicos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Sustentación de casos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Según su agente, la evaluación comprende la heteroevaluación del docente, la autoevaluación del estudiante sobre su propio avance y la coevaluación entre pares en los trabajos colectivos.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4.7.2</w:t>
        <w:tab/>
      </w:r>
      <w:r>
        <w:rPr>
          <w:rFonts w:ascii="Century Gothic" w:hAnsi="Century Gothic" w:cs="Century Gothic" w:eastAsia="Century Gothic"/>
          <w:b/>
          <w:i w:val="0"/>
          <w:sz w:val="22"/>
        </w:rPr>
        <w:t>Evidencias de aprendizaje</w:t>
      </w:r>
    </w:p>
    <w:p>
      <w:pPr>
        <w:spacing w:before="0" w:after="200" w:line="240" w:lineRule="auto"/>
        <w:jc w:val="both"/>
      </w:pPr>
      <w:r>
        <w:rPr>
          <w:rFonts w:ascii="Century Gothic" w:hAnsi="Century Gothic" w:cs="Century Gothic" w:eastAsia="Century Gothic"/>
          <w:b w:val="0"/>
          <w:i w:val="0"/>
          <w:sz w:val="20"/>
        </w:rPr>
        <w:t>Para cada elemento de competencia, el plan de asignatura define tres tipos de evidencias, conforme al Artículo 9 de la Resolución HCU N.º 032/2025:</w:t>
      </w:r>
    </w:p>
    <w:p>
      <w:pPr>
        <w:numPr>
          <w:ilvl w:val="0"/>
          <w:numId w:val="901"/>
        </w:numPr>
        <w:spacing w:before="0" w:after="160" w:line="240" w:lineRule="auto"/>
        <w:jc w:val="both"/>
      </w:pPr>
      <w:r>
        <w:rPr>
          <w:rFonts w:ascii="Century Gothic" w:hAnsi="Century Gothic" w:cs="Century Gothic" w:eastAsia="Century Gothic"/>
          <w:b/>
          <w:i w:val="0"/>
          <w:sz w:val="20"/>
        </w:rPr>
        <w:t>Evidencias de desempeño:</w:t>
      </w:r>
      <w:r>
        <w:rPr>
          <w:rFonts w:ascii="Century Gothic" w:hAnsi="Century Gothic" w:cs="Century Gothic" w:eastAsia="Century Gothic"/>
          <w:b w:val="0"/>
          <w:i w:val="0"/>
          <w:sz w:val="20"/>
        </w:rPr>
        <w:t xml:space="preserve"> observación del estudiante mientras ejecuta un procedimiento, como la operación de un sistema contable, la aplicación de una prueba de auditoría o la exposición de un caso.</w:t>
      </w:r>
    </w:p>
    <w:p>
      <w:pPr>
        <w:numPr>
          <w:ilvl w:val="0"/>
          <w:numId w:val="901"/>
        </w:numPr>
        <w:spacing w:before="0" w:after="160" w:line="240" w:lineRule="auto"/>
        <w:jc w:val="both"/>
      </w:pPr>
      <w:r>
        <w:rPr>
          <w:rFonts w:ascii="Century Gothic" w:hAnsi="Century Gothic" w:cs="Century Gothic" w:eastAsia="Century Gothic"/>
          <w:b/>
          <w:i w:val="0"/>
          <w:sz w:val="20"/>
        </w:rPr>
        <w:t>Evidencias de producto:</w:t>
      </w:r>
      <w:r>
        <w:rPr>
          <w:rFonts w:ascii="Century Gothic" w:hAnsi="Century Gothic" w:cs="Century Gothic" w:eastAsia="Century Gothic"/>
          <w:b w:val="0"/>
          <w:i w:val="0"/>
          <w:sz w:val="20"/>
        </w:rPr>
        <w:t xml:space="preserve"> resultados tangibles del trabajo, como estados financieros, papeles de trabajo, informes de auditoría o de sostenibilidad, declaraciones tributarias y proyectos.</w:t>
      </w:r>
    </w:p>
    <w:p>
      <w:pPr>
        <w:numPr>
          <w:ilvl w:val="0"/>
          <w:numId w:val="901"/>
        </w:numPr>
        <w:spacing w:before="0" w:after="200" w:line="240" w:lineRule="auto"/>
        <w:jc w:val="both"/>
      </w:pPr>
      <w:r>
        <w:rPr>
          <w:rFonts w:ascii="Century Gothic" w:hAnsi="Century Gothic" w:cs="Century Gothic" w:eastAsia="Century Gothic"/>
          <w:b/>
          <w:i w:val="0"/>
          <w:sz w:val="20"/>
        </w:rPr>
        <w:t>Evidencias de conocimiento:</w:t>
      </w:r>
      <w:r>
        <w:rPr>
          <w:rFonts w:ascii="Century Gothic" w:hAnsi="Century Gothic" w:cs="Century Gothic" w:eastAsia="Century Gothic"/>
          <w:b w:val="0"/>
          <w:i w:val="0"/>
          <w:sz w:val="20"/>
        </w:rPr>
        <w:t xml:space="preserve"> pruebas que demuestran el dominio de conceptos, normas y procedimientos.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4.7.3</w:t>
        <w:tab/>
      </w:r>
      <w:r>
        <w:rPr>
          <w:rFonts w:ascii="Century Gothic" w:hAnsi="Century Gothic" w:cs="Century Gothic" w:eastAsia="Century Gothic"/>
          <w:b/>
          <w:i w:val="0"/>
          <w:sz w:val="22"/>
        </w:rPr>
        <w:t>Métodos, procedimientos e instrumentos</w:t>
      </w:r>
    </w:p>
    <w:p>
      <w:pPr>
        <w:keepNext/>
        <w:spacing w:before="40" w:after="80" w:line="240" w:lineRule="auto"/>
        <w:jc w:val="center"/>
      </w:pPr>
      <w:r>
        <w:rPr>
          <w:rFonts w:ascii="Century Gothic" w:hAnsi="Century Gothic" w:cs="Century Gothic" w:eastAsia="Century Gothic"/>
          <w:b/>
          <w:i w:val="0"/>
          <w:sz w:val="20"/>
        </w:rPr>
        <w:t>Cuadro 2. Instrumentos de evaluación</w:t>
      </w:r>
    </w:p>
    <w:tbl>
      <w:tblPr>
        <w:tblW w:type="auto" w:w="0"/>
        <w:jc w:val="center"/>
        <w:tblLayout w:type="fixed"/>
        <w:tblLook w:firstColumn="1" w:firstRow="1" w:lastColumn="0" w:lastRow="0" w:noHBand="0" w:noVBand="1" w:val="04A0"/>
      </w:tblPr>
      <w:tblGrid>
        <w:gridCol w:w="2835"/>
        <w:gridCol w:w="6236"/>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Instrumento</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Uso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Rúbricas analíticas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Valoración objetiva de desempeños observables en defensas orales, casos, laboratorios y proyectos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Portafolio de evidencias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Compilación digital de papeles de trabajo, proyectos e informes elaborados por el estudiante durante la gestión</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Listas de cotejo y guías de observación</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Verificación de procedimientos en laboratorio, simuladores y prácticas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Pruebas escritas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Comprobación del dominio conceptual y normativo, con preguntas de aplicación y análisis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Demostraciones en simuladores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Prácticas con sistemas de gestión empresarial, plataformas del Servicio de Impuestos Nacionales y software de auditoría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Proyectos integradores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Resolución de problemas complejos mediante el aprendizaje basado en proyectos con organizaciones reales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Informes técnicos y su defensa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Sustentación de informes de auditoría, de sostenibilidad, de investigación o de práctica preprofesional</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procedimiento de evaluación de cada asignatura se presenta al inicio de la gestión en el plan de asignatura, con el cronograma de evaluaciones, la ponderación de cada evidencia y los criterios de desempeño. Las prácticas, investigaciones y casos deben tener un peso relevante en la evaluación total, porque son la principal fuente de evidencias de desempeño y de producto.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4.7.4</w:t>
        <w:tab/>
      </w:r>
      <w:r>
        <w:rPr>
          <w:rFonts w:ascii="Century Gothic" w:hAnsi="Century Gothic" w:cs="Century Gothic" w:eastAsia="Century Gothic"/>
          <w:b/>
          <w:i w:val="0"/>
          <w:sz w:val="22"/>
        </w:rPr>
        <w:t>Escala de valoración y nota de aprobación</w:t>
      </w:r>
    </w:p>
    <w:p>
      <w:pPr>
        <w:numPr>
          <w:ilvl w:val="0"/>
          <w:numId w:val="902"/>
        </w:numPr>
        <w:spacing w:before="0" w:after="160" w:line="240" w:lineRule="auto"/>
        <w:jc w:val="both"/>
      </w:pPr>
      <w:r>
        <w:rPr>
          <w:rFonts w:ascii="Century Gothic" w:hAnsi="Century Gothic" w:cs="Century Gothic" w:eastAsia="Century Gothic"/>
          <w:b/>
          <w:i w:val="0"/>
          <w:sz w:val="20"/>
        </w:rPr>
        <w:t>Escala:</w:t>
      </w:r>
      <w:r>
        <w:rPr>
          <w:rFonts w:ascii="Century Gothic" w:hAnsi="Century Gothic" w:cs="Century Gothic" w:eastAsia="Century Gothic"/>
          <w:b w:val="0"/>
          <w:i w:val="0"/>
          <w:sz w:val="20"/>
        </w:rPr>
        <w:t xml:space="preserve"> la valoración acumulada de cada asignatura se expresa en una escala de uno (1) a cien (100) puntos.</w:t>
      </w:r>
    </w:p>
    <w:p>
      <w:pPr>
        <w:numPr>
          <w:ilvl w:val="0"/>
          <w:numId w:val="902"/>
        </w:numPr>
        <w:spacing w:before="0" w:after="160" w:line="240" w:lineRule="auto"/>
        <w:jc w:val="both"/>
      </w:pPr>
      <w:r>
        <w:rPr>
          <w:rFonts w:ascii="Century Gothic" w:hAnsi="Century Gothic" w:cs="Century Gothic" w:eastAsia="Century Gothic"/>
          <w:b/>
          <w:i w:val="0"/>
          <w:sz w:val="20"/>
        </w:rPr>
        <w:t>Nota mínima de aprobación:</w:t>
      </w:r>
      <w:r>
        <w:rPr>
          <w:rFonts w:ascii="Century Gothic" w:hAnsi="Century Gothic" w:cs="Century Gothic" w:eastAsia="Century Gothic"/>
          <w:b w:val="0"/>
          <w:i w:val="0"/>
          <w:sz w:val="20"/>
        </w:rPr>
        <w:t xml:space="preserve"> cincuenta y uno (51) puntos sobre cien, resultado de la suma ponderada de las evaluaciones del proceso y de la evaluación final.</w:t>
      </w:r>
    </w:p>
    <w:p>
      <w:pPr>
        <w:numPr>
          <w:ilvl w:val="0"/>
          <w:numId w:val="902"/>
        </w:numPr>
        <w:spacing w:before="0" w:after="200" w:line="240" w:lineRule="auto"/>
        <w:jc w:val="both"/>
      </w:pPr>
      <w:r>
        <w:rPr>
          <w:rFonts w:ascii="Century Gothic" w:hAnsi="Century Gothic" w:cs="Century Gothic" w:eastAsia="Century Gothic"/>
          <w:b/>
          <w:i w:val="0"/>
          <w:sz w:val="20"/>
        </w:rPr>
        <w:t>Distribución del puntaje:</w:t>
      </w:r>
      <w:r>
        <w:rPr>
          <w:rFonts w:ascii="Century Gothic" w:hAnsi="Century Gothic" w:cs="Century Gothic" w:eastAsia="Century Gothic"/>
          <w:b w:val="0"/>
          <w:i w:val="0"/>
          <w:sz w:val="20"/>
        </w:rPr>
        <w:t xml:space="preserve"> se define en cada asignatura según su naturaleza y contenido, y se presenta al inicio de la gestión en el plan de asignatura.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4.7.5</w:t>
        <w:tab/>
      </w:r>
      <w:r>
        <w:rPr>
          <w:rFonts w:ascii="Century Gothic" w:hAnsi="Century Gothic" w:cs="Century Gothic" w:eastAsia="Century Gothic"/>
          <w:b/>
          <w:i w:val="0"/>
          <w:sz w:val="22"/>
        </w:rPr>
        <w:t>Mesa de examen</w:t>
      </w:r>
    </w:p>
    <w:p>
      <w:pPr>
        <w:spacing w:before="0" w:after="200" w:line="240" w:lineRule="auto"/>
        <w:jc w:val="both"/>
      </w:pPr>
      <w:r>
        <w:rPr>
          <w:rFonts w:ascii="Century Gothic" w:hAnsi="Century Gothic" w:cs="Century Gothic" w:eastAsia="Century Gothic"/>
          <w:b w:val="0"/>
          <w:i w:val="0"/>
          <w:sz w:val="20"/>
        </w:rPr>
        <w:t>La mesa de examen es una modalidad de evaluación que exime al estudiante de cursar la asignatura durante la gestión, mediante un examen integral, escrito y oral, sobre la totalidad del programa. Se rige por la Resolución HCU N.º 352/2021, de 21 de julio de 2021, cuyo Artículo 8 establece que «la mesa de examen se aplica tan solo a las materias teóricas del plan de estudios. El Consejo de Carrera definirá la lista de materias habilitadas, debiendo dar a conocer públicamente la nómina de las mismas».</w:t>
      </w:r>
    </w:p>
    <w:p>
      <w:pPr>
        <w:spacing w:before="0" w:after="200" w:line="240" w:lineRule="auto"/>
        <w:jc w:val="both"/>
      </w:pPr>
      <w:r>
        <w:rPr>
          <w:rFonts w:ascii="Century Gothic" w:hAnsi="Century Gothic" w:cs="Century Gothic" w:eastAsia="Century Gothic"/>
          <w:b w:val="0"/>
          <w:i w:val="0"/>
          <w:sz w:val="20"/>
        </w:rPr>
        <w:t>El estudiante puede inscribirse en mesa de examen con cumplimiento de los prerrequisitos. Con base en la definición de materia teórica, se habilitan las siguientes asignaturas, cuya nómina es aprobada cada año por el Honorable Consejo de Carrera:</w:t>
      </w:r>
    </w:p>
    <w:p>
      <w:pPr>
        <w:keepNext/>
        <w:spacing w:before="40" w:after="80" w:line="240" w:lineRule="auto"/>
        <w:jc w:val="center"/>
      </w:pPr>
      <w:r>
        <w:rPr>
          <w:rFonts w:ascii="Century Gothic" w:hAnsi="Century Gothic" w:cs="Century Gothic" w:eastAsia="Century Gothic"/>
          <w:b/>
          <w:i w:val="0"/>
          <w:sz w:val="20"/>
        </w:rPr>
        <w:t>Cuadro 3. Asignaturas habilitadas para mesa de examen</w:t>
      </w:r>
    </w:p>
    <w:tbl>
      <w:tblPr>
        <w:tblW w:type="auto" w:w="0"/>
        <w:jc w:val="center"/>
        <w:tblLayout w:type="fixed"/>
        <w:tblLook w:firstColumn="1" w:firstRow="1" w:lastColumn="0" w:lastRow="0" w:noHBand="0" w:noVBand="1" w:val="04A0"/>
      </w:tblPr>
      <w:tblGrid>
        <w:gridCol w:w="1701"/>
        <w:gridCol w:w="1417"/>
        <w:gridCol w:w="5953"/>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Sigla</w:t>
            </w:r>
          </w:p>
        </w:tc>
        <w:tc>
          <w:tcPr>
            <w:tcW w:type="dxa" w:w="595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Primer año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General</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Primer año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Comercial y Corporativo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Primer año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Laboral y Seguridad Social</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Segundo año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de Sistemas Gerenciales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Segundo año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Tributario y Legislación Aduanera</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Segundo año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CPA-204</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Métodos y Técnicas de Investigación</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Tercer año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Organizacional y Comportamiento Organizacional</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Cuarto año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e Independencia Profesional</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Los cursos intensivos de temporada, como modalidad de nivelación y avance, se regulan en el punto 5.3.</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