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Admisión, Promoción y Graduación</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5.</w:t>
        <w:tab/>
      </w:r>
      <w:r>
        <w:rPr>
          <w:rFonts w:ascii="Century Gothic" w:hAnsi="Century Gothic" w:cs="Century Gothic" w:eastAsia="Century Gothic"/>
          <w:b/>
          <w:i w:val="0"/>
          <w:sz w:val="24"/>
        </w:rPr>
        <w:t>Admisión, promoción y graduación</w:t>
      </w:r>
    </w:p>
    <w:p>
      <w:pPr>
        <w:spacing w:before="0" w:after="200" w:line="240" w:lineRule="auto"/>
        <w:jc w:val="both"/>
      </w:pPr>
      <w:r>
        <w:rPr>
          <w:rFonts w:ascii="Century Gothic" w:hAnsi="Century Gothic" w:cs="Century Gothic" w:eastAsia="Century Gothic"/>
          <w:b w:val="0"/>
          <w:i w:val="0"/>
          <w:sz w:val="20"/>
        </w:rPr>
        <w:t>Este punto establece las condiciones de admisión, permanencia, promoción y graduación del presente rediseño curricular. Para cada proceso se resume el diagnóstico de la situación actual y se definen las medidas del nuevo plan, orientadas a reducir la deserción temprana, flexibilizar la promoción y agilizar la graduación, en concordancia con el Reglamento del Régimen Académico Estudiantil del Sistema de la Universidad Boliviana, la normativa de la UMSA y la IES 1 de la IFAC.</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5.1</w:t>
        <w:tab/>
      </w:r>
      <w:r>
        <w:rPr>
          <w:rFonts w:ascii="Century Gothic" w:hAnsi="Century Gothic" w:cs="Century Gothic" w:eastAsia="Century Gothic"/>
          <w:b/>
          <w:i w:val="0"/>
          <w:sz w:val="24"/>
        </w:rPr>
        <w:t>Perfil del postulante</w:t>
      </w:r>
    </w:p>
    <w:p>
      <w:pPr>
        <w:spacing w:before="0" w:after="200" w:line="240" w:lineRule="auto"/>
        <w:jc w:val="both"/>
      </w:pPr>
      <w:r>
        <w:rPr>
          <w:rFonts w:ascii="Century Gothic" w:hAnsi="Century Gothic" w:cs="Century Gothic" w:eastAsia="Century Gothic"/>
          <w:b w:val="0"/>
          <w:i w:val="0"/>
          <w:sz w:val="20"/>
        </w:rPr>
        <w:t>El postulante a la Carrera de Contaduría Pública es un bachiller con vocación por las ciencias económicas, contables y financieras, que posee:</w:t>
      </w:r>
    </w:p>
    <w:p>
      <w:pPr>
        <w:numPr>
          <w:ilvl w:val="0"/>
          <w:numId w:val="901"/>
        </w:numPr>
        <w:spacing w:before="0" w:after="160" w:line="240" w:lineRule="auto"/>
        <w:jc w:val="both"/>
      </w:pPr>
      <w:r>
        <w:rPr>
          <w:rFonts w:ascii="Century Gothic" w:hAnsi="Century Gothic" w:cs="Century Gothic" w:eastAsia="Century Gothic"/>
          <w:b/>
          <w:i w:val="0"/>
          <w:sz w:val="20"/>
        </w:rPr>
        <w:t>Base cognitiva:</w:t>
      </w:r>
      <w:r>
        <w:rPr>
          <w:rFonts w:ascii="Century Gothic" w:hAnsi="Century Gothic" w:cs="Century Gothic" w:eastAsia="Century Gothic"/>
          <w:b w:val="0"/>
          <w:i w:val="0"/>
          <w:sz w:val="20"/>
        </w:rPr>
        <w:t xml:space="preserve"> conocimientos básicos de matemáticas, como aritmética, álgebra y lógica matemática; de lenguaje, como gramática, ortografía, comprensión lectora y redacción; y una noción elemental del entorno socioeconómico nacional y de la profesión contable.</w:t>
      </w:r>
    </w:p>
    <w:p>
      <w:pPr>
        <w:numPr>
          <w:ilvl w:val="0"/>
          <w:numId w:val="901"/>
        </w:numPr>
        <w:spacing w:before="0" w:after="160" w:line="240" w:lineRule="auto"/>
        <w:jc w:val="both"/>
      </w:pPr>
      <w:r>
        <w:rPr>
          <w:rFonts w:ascii="Century Gothic" w:hAnsi="Century Gothic" w:cs="Century Gothic" w:eastAsia="Century Gothic"/>
          <w:b/>
          <w:i w:val="0"/>
          <w:sz w:val="20"/>
        </w:rPr>
        <w:t>Aptitudes analíticas y cuantitativas:</w:t>
      </w:r>
      <w:r>
        <w:rPr>
          <w:rFonts w:ascii="Century Gothic" w:hAnsi="Century Gothic" w:cs="Century Gothic" w:eastAsia="Century Gothic"/>
          <w:b w:val="0"/>
          <w:i w:val="0"/>
          <w:sz w:val="20"/>
        </w:rPr>
        <w:t xml:space="preserve"> razonamiento lógico deductivo, aptitud para resolver problemas numéricos, habilidad para la comunicación oral y escrita y disposición para aprender tecnologías de la información e idiomas, en particular el inglés.</w:t>
      </w:r>
    </w:p>
    <w:p>
      <w:pPr>
        <w:numPr>
          <w:ilvl w:val="0"/>
          <w:numId w:val="901"/>
        </w:numPr>
        <w:spacing w:before="0" w:after="200" w:line="240" w:lineRule="auto"/>
        <w:jc w:val="both"/>
      </w:pPr>
      <w:r>
        <w:rPr>
          <w:rFonts w:ascii="Century Gothic" w:hAnsi="Century Gothic" w:cs="Century Gothic" w:eastAsia="Century Gothic"/>
          <w:b/>
          <w:i w:val="0"/>
          <w:sz w:val="20"/>
        </w:rPr>
        <w:t>Actitudes y valores:</w:t>
      </w:r>
      <w:r>
        <w:rPr>
          <w:rFonts w:ascii="Century Gothic" w:hAnsi="Century Gothic" w:cs="Century Gothic" w:eastAsia="Century Gothic"/>
          <w:b w:val="0"/>
          <w:i w:val="0"/>
          <w:sz w:val="20"/>
        </w:rPr>
        <w:t xml:space="preserve"> integridad personal, conducta ética, compromiso con la transparencia, disposición para el trabajo colaborativo, disciplina de estudio, espíritu reflexivo y propositivo, y responsabilidad social.</w:t>
      </w:r>
    </w:p>
    <w:p>
      <w:pPr>
        <w:spacing w:before="0" w:after="200" w:line="240" w:lineRule="auto"/>
        <w:jc w:val="both"/>
      </w:pPr>
      <w:r>
        <w:rPr>
          <w:rFonts w:ascii="Century Gothic" w:hAnsi="Century Gothic" w:cs="Century Gothic" w:eastAsia="Century Gothic"/>
          <w:b w:val="0"/>
          <w:i w:val="0"/>
          <w:sz w:val="20"/>
        </w:rPr>
        <w:t>El diagnóstico identifica una brecha entre las competencias del bachiller promedio y las exigencias de la Carrera, especialmente en competencias digitales, manejo de hojas de cálculo, pensamiento analítico y nociones contables, que el nuevo plan atiende mediante la evaluación diagnóstica y la nivelación descritas en el punto 5.2.</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5.2</w:t>
        <w:tab/>
      </w:r>
      <w:r>
        <w:rPr>
          <w:rFonts w:ascii="Century Gothic" w:hAnsi="Century Gothic" w:cs="Century Gothic" w:eastAsia="Century Gothic"/>
          <w:b/>
          <w:i w:val="0"/>
          <w:sz w:val="24"/>
        </w:rPr>
        <w:t>Modalidades de admisión</w:t>
      </w:r>
    </w:p>
    <w:p>
      <w:pPr>
        <w:spacing w:before="0" w:after="200" w:line="240" w:lineRule="auto"/>
        <w:jc w:val="both"/>
      </w:pPr>
      <w:r>
        <w:rPr>
          <w:rFonts w:ascii="Century Gothic" w:hAnsi="Century Gothic" w:cs="Century Gothic" w:eastAsia="Century Gothic"/>
          <w:b w:val="0"/>
          <w:i w:val="0"/>
          <w:sz w:val="20"/>
        </w:rPr>
        <w:t>La admisión se rige por el Capítulo II del Reglamento del Régimen Académico Estudiantil del Sistema de la Universidad Boliviana y por el Reglamento de Admisión Facultativa aprobado mediante Resolución HCU N.º 184/98, de 9 de septiembre de 1998. El Artículo 4 de ese reglamento define la admisión como el procedimiento por el cual el postulante adquiere la condición de estudiante regular, y el Artículo 6 dispone que las modalidades de admisión sean gratuitas o que, de tener un costo, este no exceda el importe que demande su realización. En el marco de la gratuidad, la equidad, la transparencia y la meritocracia, la Carrera reconoce las tres modalidades que establece ese artículo:</w:t>
      </w:r>
    </w:p>
    <w:p>
      <w:pPr>
        <w:keepNext/>
        <w:spacing w:before="40" w:after="80" w:line="240" w:lineRule="auto"/>
        <w:jc w:val="center"/>
      </w:pPr>
      <w:r>
        <w:rPr>
          <w:rFonts w:ascii="Century Gothic" w:hAnsi="Century Gothic" w:cs="Century Gothic" w:eastAsia="Century Gothic"/>
          <w:b/>
          <w:i w:val="0"/>
          <w:sz w:val="20"/>
        </w:rPr>
        <w:t>Cuadro 1. Modalidades de admisión</w:t>
      </w:r>
    </w:p>
    <w:tbl>
      <w:tblPr>
        <w:tblW w:type="auto" w:w="0"/>
        <w:jc w:val="center"/>
        <w:tblLayout w:type="fixed"/>
        <w:tblLook w:firstColumn="1" w:firstRow="1" w:lastColumn="0" w:lastRow="0" w:noHBand="0" w:noVBand="1" w:val="04A0"/>
      </w:tblPr>
      <w:tblGrid>
        <w:gridCol w:w="2041"/>
        <w:gridCol w:w="5443"/>
        <w:gridCol w:w="1587"/>
      </w:tblGrid>
      <w:tr>
        <w:trPr>
          <w:tblHeader/>
        </w:trPr>
        <w:tc>
          <w:tcPr>
            <w:tcW w:type="dxa" w:w="204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Modalidad</w:t>
            </w:r>
          </w:p>
        </w:tc>
        <w:tc>
          <w:tcPr>
            <w:tcW w:type="dxa" w:w="5443"/>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Descripción</w:t>
            </w:r>
          </w:p>
        </w:tc>
        <w:tc>
          <w:tcPr>
            <w:tcW w:type="dxa" w:w="158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Base normativa</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Prueba de Suficiencia Académica, PSA</w:t>
            </w:r>
          </w:p>
        </w:tc>
        <w:tc>
          <w:tcPr>
            <w:tcW w:type="dxa" w:w="544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Evaluación presencial de conocimientos básicos de matemáticas y lenguaje que habilita al bachiller para iniciar estudios sin cursar el curso prefacultativo</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Artículos 8 a 10</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Curso Prefacultativo, CPF, denominado Curso Pre-Universitario en el reglamento</w:t>
            </w:r>
          </w:p>
        </w:tc>
        <w:tc>
          <w:tcPr>
            <w:tcW w:type="dxa" w:w="544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Programa intensivo de nivelación que fortalece las capacidades, las aptitudes y el razonamiento lógico de los postulantes, con clases y dos evaluaciones finales en matemáticas y lenguaje; además, como conocimiento complementario, incluye la materia de contaduría pública y su contexto</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Artículos 11 y 12</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Admisión Especial, AE</w:t>
            </w:r>
          </w:p>
        </w:tc>
        <w:tc>
          <w:tcPr>
            <w:tcW w:type="dxa" w:w="544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Procedimiento que exime de la PSA o del CPF a quienes acreditan, entre otros: título de licenciatura o de técnico superior del Sistema de la Universidad Boliviana; egreso de colegios militares, de la Universidad Policial o de escuelas superiores de formación de maestros; excelencia académica como bachiller; premios en eventos científicos, culturales o deportivos; discapacidad; o pertenencia a pueblos originarios y campesinos que merezcan especial apoyo. Está sujeta a la reglamentación específica de la UMSA y a los convenios del Sistema</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Artículo 13</w:t>
            </w:r>
          </w:p>
        </w:tc>
      </w:tr>
    </w:tbl>
    <w:p>
      <w:pPr>
        <w:spacing w:before="40" w:after="200" w:line="240" w:lineRule="auto"/>
        <w:jc w:val="left"/>
      </w:pPr>
      <w:r>
        <w:rPr>
          <w:rFonts w:ascii="Century Gothic" w:hAnsi="Century Gothic" w:cs="Century Gothic" w:eastAsia="Century Gothic"/>
          <w:b w:val="0"/>
          <w:i w:val="0"/>
          <w:sz w:val="16"/>
        </w:rPr>
        <w:t>Fuente: Reglamento del Régimen Académico Estudiantil del Sistema de la Universidad Boliviana, Capítulo II.</w:t>
      </w:r>
    </w:p>
    <w:p>
      <w:pPr>
        <w:spacing w:before="0" w:after="200" w:line="240" w:lineRule="auto"/>
        <w:jc w:val="both"/>
      </w:pPr>
      <w:r>
        <w:rPr>
          <w:rFonts w:ascii="Century Gothic" w:hAnsi="Century Gothic" w:cs="Century Gothic" w:eastAsia="Century Gothic"/>
          <w:b w:val="0"/>
          <w:i w:val="0"/>
          <w:sz w:val="20"/>
        </w:rPr>
        <w:t>Conforme al Artículo 7 del reglamento, la aprobación de la PSA o del CPF, o el cumplimiento de los requisitos de la admisión especial, es requisito imprescindible para iniciar la Carrera. No existen otras modalidades de ingreso, lo que garantiza la igualdad de oportunidades para todos los postulantes.</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5.2.1</w:t>
        <w:tab/>
      </w:r>
      <w:r>
        <w:rPr>
          <w:rFonts w:ascii="Century Gothic" w:hAnsi="Century Gothic" w:cs="Century Gothic" w:eastAsia="Century Gothic"/>
          <w:b/>
          <w:i w:val="0"/>
          <w:sz w:val="22"/>
        </w:rPr>
        <w:t>Problema identificado</w:t>
      </w:r>
    </w:p>
    <w:p>
      <w:pPr>
        <w:spacing w:before="0" w:after="200" w:line="240" w:lineRule="auto"/>
        <w:jc w:val="both"/>
      </w:pPr>
      <w:r>
        <w:rPr>
          <w:rFonts w:ascii="Century Gothic" w:hAnsi="Century Gothic" w:cs="Century Gothic" w:eastAsia="Century Gothic"/>
          <w:b w:val="0"/>
          <w:i w:val="0"/>
          <w:sz w:val="20"/>
        </w:rPr>
        <w:t>La admisión mide principalmente conocimientos memorísticos del nivel secundario, sin evaluar las competencias digitales ni el pensamiento crítico y analítico.</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5.2.2</w:t>
        <w:tab/>
      </w:r>
      <w:r>
        <w:rPr>
          <w:rFonts w:ascii="Century Gothic" w:hAnsi="Century Gothic" w:cs="Century Gothic" w:eastAsia="Century Gothic"/>
          <w:b/>
          <w:i w:val="0"/>
          <w:sz w:val="22"/>
        </w:rPr>
        <w:t>Medidas del nuevo plan</w:t>
      </w:r>
    </w:p>
    <w:p>
      <w:pPr>
        <w:numPr>
          <w:ilvl w:val="0"/>
          <w:numId w:val="902"/>
        </w:numPr>
        <w:spacing w:before="0" w:after="160" w:line="240" w:lineRule="auto"/>
        <w:jc w:val="both"/>
      </w:pPr>
      <w:r>
        <w:rPr>
          <w:rFonts w:ascii="Century Gothic" w:hAnsi="Century Gothic" w:cs="Century Gothic" w:eastAsia="Century Gothic"/>
          <w:b/>
          <w:i w:val="0"/>
          <w:sz w:val="20"/>
        </w:rPr>
        <w:t>Diversificación de la evaluación de ingreso:</w:t>
      </w:r>
      <w:r>
        <w:rPr>
          <w:rFonts w:ascii="Century Gothic" w:hAnsi="Century Gothic" w:cs="Century Gothic" w:eastAsia="Century Gothic"/>
          <w:b w:val="0"/>
          <w:i w:val="0"/>
          <w:sz w:val="20"/>
        </w:rPr>
        <w:t xml:space="preserve"> incorporación progresiva, en la PSA y en el CPF, de reactivos de pensamiento crítico, lógica computacional, herramientas digitales y nociones de análisis de datos, en coordinación con la Facultad.</w:t>
      </w:r>
    </w:p>
    <w:p>
      <w:pPr>
        <w:numPr>
          <w:ilvl w:val="0"/>
          <w:numId w:val="902"/>
        </w:numPr>
        <w:spacing w:before="0" w:after="200" w:line="240" w:lineRule="auto"/>
        <w:jc w:val="both"/>
      </w:pPr>
      <w:r>
        <w:rPr>
          <w:rFonts w:ascii="Century Gothic" w:hAnsi="Century Gothic" w:cs="Century Gothic" w:eastAsia="Century Gothic"/>
          <w:b/>
          <w:i w:val="0"/>
          <w:sz w:val="20"/>
        </w:rPr>
        <w:t>Nivelación temprana:</w:t>
      </w:r>
      <w:r>
        <w:rPr>
          <w:rFonts w:ascii="Century Gothic" w:hAnsi="Century Gothic" w:cs="Century Gothic" w:eastAsia="Century Gothic"/>
          <w:b w:val="0"/>
          <w:i w:val="0"/>
          <w:sz w:val="20"/>
        </w:rPr>
        <w:t xml:space="preserve"> cada asignatura, en función de una evaluación diagnóstica, recomendará acciones de nivelación. Conforme al Artículo 28 del Reglamento del Régimen Académico Estudiantil, la evaluación diagnóstica no se pondera: orienta el proceso de enseñanza y aprendizaje.</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5.3</w:t>
        <w:tab/>
      </w:r>
      <w:r>
        <w:rPr>
          <w:rFonts w:ascii="Century Gothic" w:hAnsi="Century Gothic" w:cs="Century Gothic" w:eastAsia="Century Gothic"/>
          <w:b/>
          <w:i w:val="0"/>
          <w:sz w:val="24"/>
        </w:rPr>
        <w:t>Condiciones de permanencia, licencias, suspensiones, plazo máximo de reincorporación, abandono, etc.</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5.3.1</w:t>
        <w:tab/>
      </w:r>
      <w:r>
        <w:rPr>
          <w:rFonts w:ascii="Century Gothic" w:hAnsi="Century Gothic" w:cs="Century Gothic" w:eastAsia="Century Gothic"/>
          <w:b/>
          <w:i w:val="0"/>
          <w:sz w:val="22"/>
        </w:rPr>
        <w:t>Régimen académico</w:t>
      </w:r>
    </w:p>
    <w:p>
      <w:pPr>
        <w:spacing w:before="0" w:after="200" w:line="240" w:lineRule="auto"/>
        <w:jc w:val="both"/>
      </w:pPr>
      <w:r>
        <w:rPr>
          <w:rFonts w:ascii="Century Gothic" w:hAnsi="Century Gothic" w:cs="Century Gothic" w:eastAsia="Century Gothic"/>
          <w:b w:val="0"/>
          <w:i w:val="0"/>
          <w:sz w:val="20"/>
        </w:rPr>
        <w:t>El presente rediseño propuesto se administra en la modalidad presencial y régimen anual de cinco gestiones académicas de 40 semanas lectivas, conforme al Estatuto Orgánico de la UMSA y al Reglamento del Régimen Académico Estudiantil del Sistema de la Universidad Boliviana. El avance se rige por los prerrequisitos de la malla curricular del punto 4.4.3. Las calificaciones se expresan en una escala de 1 a 100 puntos y la nota mínima de aprobación es de 51 puntos, conforme a los Artículos 54 y 55 del reglamento y al punto 4.7.</w:t>
      </w:r>
    </w:p>
    <w:p>
      <w:pPr>
        <w:spacing w:before="0" w:after="200" w:line="240" w:lineRule="auto"/>
        <w:jc w:val="both"/>
      </w:pPr>
      <w:r>
        <w:rPr>
          <w:rFonts w:ascii="Century Gothic" w:hAnsi="Century Gothic" w:cs="Century Gothic" w:eastAsia="Century Gothic"/>
          <w:b w:val="0"/>
          <w:i w:val="0"/>
          <w:sz w:val="20"/>
        </w:rPr>
        <w:t>Desde su inscripción, el estudiante asume el compromiso de conocer y cumplir el Estatuto Orgánico del Sistema de la Universidad Boliviana, el Estatuto Orgánico de la UMSA y el reglamento, según su Artículo 3. Entre los derechos que reconoce el Artículo 14, sustentan las medidas de este punto los siguientes:</w:t>
      </w:r>
    </w:p>
    <w:p>
      <w:pPr>
        <w:numPr>
          <w:ilvl w:val="0"/>
          <w:numId w:val="903"/>
        </w:numPr>
        <w:spacing w:before="0" w:after="160" w:line="240" w:lineRule="auto"/>
        <w:jc w:val="both"/>
      </w:pPr>
      <w:r>
        <w:rPr>
          <w:rFonts w:ascii="Century Gothic" w:hAnsi="Century Gothic" w:cs="Century Gothic" w:eastAsia="Century Gothic"/>
          <w:b/>
          <w:i w:val="0"/>
          <w:sz w:val="20"/>
        </w:rPr>
        <w:t>Orientación y tutoría:</w:t>
      </w:r>
      <w:r>
        <w:rPr>
          <w:rFonts w:ascii="Century Gothic" w:hAnsi="Century Gothic" w:cs="Century Gothic" w:eastAsia="Century Gothic"/>
          <w:b w:val="0"/>
          <w:i w:val="0"/>
          <w:sz w:val="20"/>
        </w:rPr>
        <w:t xml:space="preserve"> ser asistido y orientado individual o colectivamente mediante tutorías y otros servicios académicos, inciso b, base del sistema de alerta temprana y de la tutoría del punto 5.3.5.</w:t>
      </w:r>
    </w:p>
    <w:p>
      <w:pPr>
        <w:numPr>
          <w:ilvl w:val="0"/>
          <w:numId w:val="903"/>
        </w:numPr>
        <w:spacing w:before="0" w:after="160" w:line="240" w:lineRule="auto"/>
        <w:jc w:val="both"/>
      </w:pPr>
      <w:r>
        <w:rPr>
          <w:rFonts w:ascii="Century Gothic" w:hAnsi="Century Gothic" w:cs="Century Gothic" w:eastAsia="Century Gothic"/>
          <w:b/>
          <w:i w:val="0"/>
          <w:sz w:val="20"/>
        </w:rPr>
        <w:t>Evaluación transparente:</w:t>
      </w:r>
      <w:r>
        <w:rPr>
          <w:rFonts w:ascii="Century Gothic" w:hAnsi="Century Gothic" w:cs="Century Gothic" w:eastAsia="Century Gothic"/>
          <w:b w:val="0"/>
          <w:i w:val="0"/>
          <w:sz w:val="20"/>
        </w:rPr>
        <w:t xml:space="preserve"> ser evaluado de forma objetiva y transparente y conocer oportunamente los resultados, inciso d.</w:t>
      </w:r>
    </w:p>
    <w:p>
      <w:pPr>
        <w:numPr>
          <w:ilvl w:val="0"/>
          <w:numId w:val="903"/>
        </w:numPr>
        <w:spacing w:before="0" w:after="160" w:line="240" w:lineRule="auto"/>
        <w:jc w:val="both"/>
      </w:pPr>
      <w:r>
        <w:rPr>
          <w:rFonts w:ascii="Century Gothic" w:hAnsi="Century Gothic" w:cs="Century Gothic" w:eastAsia="Century Gothic"/>
          <w:b/>
          <w:i w:val="0"/>
          <w:sz w:val="20"/>
        </w:rPr>
        <w:t>Auxiliaturas:</w:t>
      </w:r>
      <w:r>
        <w:rPr>
          <w:rFonts w:ascii="Century Gothic" w:hAnsi="Century Gothic" w:cs="Century Gothic" w:eastAsia="Century Gothic"/>
          <w:b w:val="0"/>
          <w:i w:val="0"/>
          <w:sz w:val="20"/>
        </w:rPr>
        <w:t xml:space="preserve"> postular a auxiliaturas de docencia conforme a reglamentación específica, inciso k.</w:t>
      </w:r>
    </w:p>
    <w:p>
      <w:pPr>
        <w:numPr>
          <w:ilvl w:val="0"/>
          <w:numId w:val="903"/>
        </w:numPr>
        <w:spacing w:before="0" w:after="160" w:line="240" w:lineRule="auto"/>
        <w:jc w:val="both"/>
      </w:pPr>
      <w:r>
        <w:rPr>
          <w:rFonts w:ascii="Century Gothic" w:hAnsi="Century Gothic" w:cs="Century Gothic" w:eastAsia="Century Gothic"/>
          <w:b/>
          <w:i w:val="0"/>
          <w:sz w:val="20"/>
        </w:rPr>
        <w:t>Prácticas:</w:t>
      </w:r>
      <w:r>
        <w:rPr>
          <w:rFonts w:ascii="Century Gothic" w:hAnsi="Century Gothic" w:cs="Century Gothic" w:eastAsia="Century Gothic"/>
          <w:b w:val="0"/>
          <w:i w:val="0"/>
          <w:sz w:val="20"/>
        </w:rPr>
        <w:t xml:space="preserve"> acceder a las instituciones públicas para realizar prácticas sujetas a convenio, inciso m, base de las prácticas preprofesionales del punto 4.8.</w:t>
      </w:r>
    </w:p>
    <w:p>
      <w:pPr>
        <w:numPr>
          <w:ilvl w:val="0"/>
          <w:numId w:val="903"/>
        </w:numPr>
        <w:spacing w:before="0" w:after="200" w:line="240" w:lineRule="auto"/>
        <w:jc w:val="both"/>
      </w:pPr>
      <w:r>
        <w:rPr>
          <w:rFonts w:ascii="Century Gothic" w:hAnsi="Century Gothic" w:cs="Century Gothic" w:eastAsia="Century Gothic"/>
          <w:b/>
          <w:i w:val="0"/>
          <w:sz w:val="20"/>
        </w:rPr>
        <w:t>Plan global:</w:t>
      </w:r>
      <w:r>
        <w:rPr>
          <w:rFonts w:ascii="Century Gothic" w:hAnsi="Century Gothic" w:cs="Century Gothic" w:eastAsia="Century Gothic"/>
          <w:b w:val="0"/>
          <w:i w:val="0"/>
          <w:sz w:val="20"/>
        </w:rPr>
        <w:t xml:space="preserve"> conocer el plan global de cada asignatura al inicio de la gestión académica, inciso o.</w:t>
      </w:r>
    </w:p>
    <w:p>
      <w:pPr>
        <w:spacing w:before="0" w:after="200" w:line="240" w:lineRule="auto"/>
        <w:jc w:val="both"/>
      </w:pPr>
      <w:r>
        <w:rPr>
          <w:rFonts w:ascii="Century Gothic" w:hAnsi="Century Gothic" w:cs="Century Gothic" w:eastAsia="Century Gothic"/>
          <w:b w:val="0"/>
          <w:i w:val="0"/>
          <w:sz w:val="20"/>
        </w:rPr>
        <w:t>Entre sus obligaciones, el Artículo 15 establece cumplir las disposiciones académicas aprobadas en instancias de cogobierno, participar activamente en los procesos de enseñanza y aprendizaje, investigación e interacción social, conservar los bienes de la Carrera y de la Universidad y someterse a las disposiciones del reglamento.</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5.3.2</w:t>
        <w:tab/>
      </w:r>
      <w:r>
        <w:rPr>
          <w:rFonts w:ascii="Century Gothic" w:hAnsi="Century Gothic" w:cs="Century Gothic" w:eastAsia="Century Gothic"/>
          <w:b/>
          <w:i w:val="0"/>
          <w:sz w:val="22"/>
        </w:rPr>
        <w:t>Permanencia, licencias, suspensiones, reincorporación y abandono</w:t>
      </w:r>
    </w:p>
    <w:p>
      <w:pPr>
        <w:spacing w:before="0" w:after="200" w:line="240" w:lineRule="auto"/>
        <w:jc w:val="both"/>
      </w:pPr>
      <w:r>
        <w:rPr>
          <w:rFonts w:ascii="Century Gothic" w:hAnsi="Century Gothic" w:cs="Century Gothic" w:eastAsia="Century Gothic"/>
          <w:b w:val="0"/>
          <w:i w:val="0"/>
          <w:sz w:val="20"/>
        </w:rPr>
        <w:t>El Artículo 16 del Reglamento del Régimen Académico Estudiantil denomina régimen académico estudiantil a las disposiciones referidas a los procesos académicos de admisión, seguimiento, traspaso, cambio de carrera, suspensión voluntaria de estudios, estudio simultáneo de dos carreras y readmisiones. Los Artículos 17 a 21 definen cada procedimiento:</w:t>
      </w:r>
    </w:p>
    <w:p>
      <w:pPr>
        <w:keepNext/>
        <w:spacing w:before="40" w:after="80" w:line="240" w:lineRule="auto"/>
        <w:jc w:val="center"/>
      </w:pPr>
      <w:r>
        <w:rPr>
          <w:rFonts w:ascii="Century Gothic" w:hAnsi="Century Gothic" w:cs="Century Gothic" w:eastAsia="Century Gothic"/>
          <w:b/>
          <w:i w:val="0"/>
          <w:sz w:val="20"/>
        </w:rPr>
        <w:t>Cuadro 2. Procedimientos del régimen académico estudiantil</w:t>
      </w:r>
    </w:p>
    <w:tbl>
      <w:tblPr>
        <w:tblW w:type="auto" w:w="0"/>
        <w:jc w:val="center"/>
        <w:tblLayout w:type="fixed"/>
        <w:tblLook w:firstColumn="1" w:firstRow="1" w:lastColumn="0" w:lastRow="0" w:noHBand="0" w:noVBand="1" w:val="04A0"/>
      </w:tblPr>
      <w:tblGrid>
        <w:gridCol w:w="2381"/>
        <w:gridCol w:w="5556"/>
        <w:gridCol w:w="1134"/>
      </w:tblGrid>
      <w:tr>
        <w:trPr>
          <w:tblHeader/>
        </w:trPr>
        <w:tc>
          <w:tcPr>
            <w:tcW w:type="dxa" w:w="238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Procedimiento</w:t>
            </w:r>
          </w:p>
        </w:tc>
        <w:tc>
          <w:tcPr>
            <w:tcW w:type="dxa" w:w="5556"/>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Definición</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Artículo</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Traspaso</w:t>
            </w:r>
          </w:p>
        </w:tc>
        <w:tc>
          <w:tcPr>
            <w:tcW w:type="dxa" w:w="555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Movilización voluntaria del estudiante de una universidad a otra, en la misma carrera o en una afín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17</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Cambio de carrera</w:t>
            </w:r>
          </w:p>
        </w:tc>
        <w:tc>
          <w:tcPr>
            <w:tcW w:type="dxa" w:w="555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Paso del estudiante de una carrera a otra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18</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Suspensión voluntaria de estudios</w:t>
            </w:r>
          </w:p>
        </w:tc>
        <w:tc>
          <w:tcPr>
            <w:tcW w:type="dxa" w:w="555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Interrupción temporal de los estudios por decisión del estudiante</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19</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Readmisión o reincorporación</w:t>
            </w:r>
          </w:p>
        </w:tc>
        <w:tc>
          <w:tcPr>
            <w:tcW w:type="dxa" w:w="555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Trámite del estudiante que interrumpió temporalmente sus estudios para volver a la Universidad, conforme a reglamento específico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20</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Estudio simultáneo de dos carreras</w:t>
            </w:r>
          </w:p>
        </w:tc>
        <w:tc>
          <w:tcPr>
            <w:tcW w:type="dxa" w:w="555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Inscripción simultánea del estudiante en dos carreras, conforme a reglamento específico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21</w:t>
            </w:r>
          </w:p>
        </w:tc>
      </w:tr>
    </w:tbl>
    <w:p>
      <w:pPr>
        <w:spacing w:before="40" w:after="200" w:line="240" w:lineRule="auto"/>
        <w:jc w:val="left"/>
      </w:pPr>
      <w:r>
        <w:rPr>
          <w:rFonts w:ascii="Century Gothic" w:hAnsi="Century Gothic" w:cs="Century Gothic" w:eastAsia="Century Gothic"/>
          <w:b w:val="0"/>
          <w:i w:val="0"/>
          <w:sz w:val="16"/>
        </w:rPr>
        <w:t>Fuente: Reglamento del Régimen Académico Estudiantil del Sistema de la Universidad Boliviana, Capítulo IV.</w:t>
      </w:r>
    </w:p>
    <w:p>
      <w:pPr>
        <w:spacing w:before="0" w:after="200" w:line="240" w:lineRule="auto"/>
        <w:jc w:val="both"/>
      </w:pPr>
      <w:r>
        <w:rPr>
          <w:rFonts w:ascii="Century Gothic" w:hAnsi="Century Gothic" w:cs="Century Gothic" w:eastAsia="Century Gothic"/>
          <w:b w:val="0"/>
          <w:i w:val="0"/>
          <w:sz w:val="20"/>
        </w:rPr>
        <w:t>El Artículo 22 admite el cambio o el traspaso de la carrera de origen hasta dos veces, y el Artículo 23 encarga los casos no previstos a las instancias académicas de cada universidad.</w:t>
      </w:r>
    </w:p>
    <w:p>
      <w:pPr>
        <w:spacing w:before="0" w:after="200" w:line="240" w:lineRule="auto"/>
        <w:jc w:val="both"/>
      </w:pPr>
      <w:r>
        <w:rPr>
          <w:rFonts w:ascii="Century Gothic" w:hAnsi="Century Gothic" w:cs="Century Gothic" w:eastAsia="Century Gothic"/>
          <w:b w:val="0"/>
          <w:i w:val="0"/>
          <w:sz w:val="20"/>
        </w:rPr>
        <w:t>En ese marco, el rediseño propuesto establece las siguientes condiciones:</w:t>
      </w:r>
    </w:p>
    <w:p>
      <w:pPr>
        <w:numPr>
          <w:ilvl w:val="0"/>
          <w:numId w:val="904"/>
        </w:numPr>
        <w:spacing w:before="0" w:after="160" w:line="240" w:lineRule="auto"/>
        <w:jc w:val="both"/>
      </w:pPr>
      <w:r>
        <w:rPr>
          <w:rFonts w:ascii="Century Gothic" w:hAnsi="Century Gothic" w:cs="Century Gothic" w:eastAsia="Century Gothic"/>
          <w:b/>
          <w:i w:val="0"/>
          <w:sz w:val="20"/>
        </w:rPr>
        <w:t>Permanencia:</w:t>
      </w:r>
      <w:r>
        <w:rPr>
          <w:rFonts w:ascii="Century Gothic" w:hAnsi="Century Gothic" w:cs="Century Gothic" w:eastAsia="Century Gothic"/>
          <w:b w:val="0"/>
          <w:i w:val="0"/>
          <w:sz w:val="20"/>
        </w:rPr>
        <w:t xml:space="preserve"> es estudiante regular quien se matricula en la gestión y se inscribe en asignaturas conforme a los prerrequisitos del plan. La matrícula anual acredita los derechos y obligaciones del estudiante durante la gestión.</w:t>
      </w:r>
    </w:p>
    <w:p>
      <w:pPr>
        <w:numPr>
          <w:ilvl w:val="0"/>
          <w:numId w:val="904"/>
        </w:numPr>
        <w:spacing w:before="0" w:after="160" w:line="240" w:lineRule="auto"/>
        <w:jc w:val="both"/>
      </w:pPr>
      <w:r>
        <w:rPr>
          <w:rFonts w:ascii="Century Gothic" w:hAnsi="Century Gothic" w:cs="Century Gothic" w:eastAsia="Century Gothic"/>
          <w:b/>
          <w:i w:val="0"/>
          <w:sz w:val="20"/>
        </w:rPr>
        <w:t>Suspensión voluntaria o licencia:</w:t>
      </w:r>
      <w:r>
        <w:rPr>
          <w:rFonts w:ascii="Century Gothic" w:hAnsi="Century Gothic" w:cs="Century Gothic" w:eastAsia="Century Gothic"/>
          <w:b w:val="0"/>
          <w:i w:val="0"/>
          <w:sz w:val="20"/>
        </w:rPr>
        <w:t xml:space="preserve"> conforme al Artículo 19, el estudiante puede interrumpir temporalmente sus estudios por causas justificadas, con solicitud escrita a la Dirección de Carrera, sin que ello se registre como reprobación ni abandono.</w:t>
      </w:r>
    </w:p>
    <w:p>
      <w:pPr>
        <w:numPr>
          <w:ilvl w:val="0"/>
          <w:numId w:val="904"/>
        </w:numPr>
        <w:spacing w:before="0" w:after="160" w:line="240" w:lineRule="auto"/>
        <w:jc w:val="both"/>
      </w:pPr>
      <w:r>
        <w:rPr>
          <w:rFonts w:ascii="Century Gothic" w:hAnsi="Century Gothic" w:cs="Century Gothic" w:eastAsia="Century Gothic"/>
          <w:b/>
          <w:i w:val="0"/>
          <w:sz w:val="20"/>
        </w:rPr>
        <w:t>Abandono:</w:t>
      </w:r>
      <w:r>
        <w:rPr>
          <w:rFonts w:ascii="Century Gothic" w:hAnsi="Century Gothic" w:cs="Century Gothic" w:eastAsia="Century Gothic"/>
          <w:b w:val="0"/>
          <w:i w:val="0"/>
          <w:sz w:val="20"/>
        </w:rPr>
        <w:t xml:space="preserve"> se considera abandono de una asignatura la interrupción de su cursado sin cumplir las evaluaciones previstas, y abandono de la Carrera la falta de matrícula sin haber solicitado suspensión. El abandono se registra en el historial académico y se considera en los requisitos de la graduación por excelencia.</w:t>
      </w:r>
    </w:p>
    <w:p>
      <w:pPr>
        <w:numPr>
          <w:ilvl w:val="0"/>
          <w:numId w:val="904"/>
        </w:numPr>
        <w:spacing w:before="0" w:after="160" w:line="240" w:lineRule="auto"/>
        <w:jc w:val="both"/>
      </w:pPr>
      <w:r>
        <w:rPr>
          <w:rFonts w:ascii="Century Gothic" w:hAnsi="Century Gothic" w:cs="Century Gothic" w:eastAsia="Century Gothic"/>
          <w:b/>
          <w:i w:val="0"/>
          <w:sz w:val="20"/>
        </w:rPr>
        <w:t>Readmisión y reincorporación:</w:t>
      </w:r>
      <w:r>
        <w:rPr>
          <w:rFonts w:ascii="Century Gothic" w:hAnsi="Century Gothic" w:cs="Century Gothic" w:eastAsia="Century Gothic"/>
          <w:b w:val="0"/>
          <w:i w:val="0"/>
          <w:sz w:val="20"/>
        </w:rPr>
        <w:t xml:space="preserve"> conforme al Artículo 20 y al reglamento específico de la UMSA, el estudiante que interrumpió sus estudios se reincorpora al plan vigente al momento de su retorno, con convalidación de las asignaturas aprobadas conforme a las tablas del punto 16.1.</w:t>
      </w:r>
    </w:p>
    <w:p>
      <w:pPr>
        <w:numPr>
          <w:ilvl w:val="0"/>
          <w:numId w:val="904"/>
        </w:numPr>
        <w:spacing w:before="0" w:after="160" w:line="240" w:lineRule="auto"/>
        <w:jc w:val="both"/>
      </w:pPr>
      <w:r>
        <w:rPr>
          <w:rFonts w:ascii="Century Gothic" w:hAnsi="Century Gothic" w:cs="Century Gothic" w:eastAsia="Century Gothic"/>
          <w:b/>
          <w:i w:val="0"/>
          <w:sz w:val="20"/>
        </w:rPr>
        <w:t>Suspensiones disciplinarias:</w:t>
      </w:r>
      <w:r>
        <w:rPr>
          <w:rFonts w:ascii="Century Gothic" w:hAnsi="Century Gothic" w:cs="Century Gothic" w:eastAsia="Century Gothic"/>
          <w:b w:val="0"/>
          <w:i w:val="0"/>
          <w:sz w:val="20"/>
        </w:rPr>
        <w:t xml:space="preserve"> se aplican conforme al régimen disciplinario de la UMSA y del Sistema de la Universidad Boliviana.</w:t>
      </w:r>
    </w:p>
    <w:p>
      <w:pPr>
        <w:numPr>
          <w:ilvl w:val="0"/>
          <w:numId w:val="904"/>
        </w:numPr>
        <w:spacing w:before="0" w:after="200" w:line="240" w:lineRule="auto"/>
        <w:jc w:val="both"/>
      </w:pPr>
      <w:r>
        <w:rPr>
          <w:rFonts w:ascii="Century Gothic" w:hAnsi="Century Gothic" w:cs="Century Gothic" w:eastAsia="Century Gothic"/>
          <w:b/>
          <w:i w:val="0"/>
          <w:sz w:val="20"/>
        </w:rPr>
        <w:t>Traspaso, cambio de carrera y estudio simultáneo:</w:t>
      </w:r>
      <w:r>
        <w:rPr>
          <w:rFonts w:ascii="Century Gothic" w:hAnsi="Century Gothic" w:cs="Century Gothic" w:eastAsia="Century Gothic"/>
          <w:b w:val="0"/>
          <w:i w:val="0"/>
          <w:sz w:val="20"/>
        </w:rPr>
        <w:t xml:space="preserve"> se tramitan conforme a los Artículos 17, 18, 21 y 22 del reglamento, al Reglamento de Traspaso Estudiantil del Sistema y a la normativa de la UMSA, con convalidación de asignaturas cuando la similitud de carga horaria y contenidos sea de al menos el 70 %. El cambio o el traspaso de la carrera de origen se admite hasta dos veces.</w:t>
      </w:r>
    </w:p>
    <w:p>
      <w:pPr>
        <w:spacing w:before="0" w:after="200" w:line="240" w:lineRule="auto"/>
        <w:jc w:val="both"/>
      </w:pPr>
      <w:r>
        <w:rPr>
          <w:rFonts w:ascii="Century Gothic" w:hAnsi="Century Gothic" w:cs="Century Gothic" w:eastAsia="Century Gothic"/>
          <w:b w:val="0"/>
          <w:i w:val="0"/>
          <w:sz w:val="20"/>
        </w:rPr>
        <w:t>Los plazos máximos de suspensión y de reincorporación, así como los procedimientos de cada trámite, se establecen en el reglamento específico de la UMSA, conforme a los Artículos 20, 21 y 23 del reglamento, y se incorporarán al Reglamento Interno de la Carrera señalado en el punto 13.1.</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5.3.3</w:t>
        <w:tab/>
      </w:r>
      <w:r>
        <w:rPr>
          <w:rFonts w:ascii="Century Gothic" w:hAnsi="Century Gothic" w:cs="Century Gothic" w:eastAsia="Century Gothic"/>
          <w:b/>
          <w:i w:val="0"/>
          <w:sz w:val="22"/>
        </w:rPr>
        <w:t>Cursos intensivos de temporada</w:t>
      </w:r>
    </w:p>
    <w:p>
      <w:pPr>
        <w:spacing w:before="0" w:after="200" w:line="240" w:lineRule="auto"/>
        <w:jc w:val="both"/>
      </w:pPr>
      <w:r>
        <w:rPr>
          <w:rFonts w:ascii="Century Gothic" w:hAnsi="Century Gothic" w:cs="Century Gothic" w:eastAsia="Century Gothic"/>
          <w:b w:val="0"/>
          <w:i w:val="0"/>
          <w:sz w:val="20"/>
        </w:rPr>
        <w:t>Se rigen por la Resolución HCU N.º 093/2006, de 15 de marzo de 2006. Su Artículo 13 establece que «las Carreras tienen la tuición de elegir las materias a ser dictadas en el periodo que dure los Cursos de Temporada en función de aspectos que cada unidad académica considere importante, debiendo sus contenidos ser cubiertos en un 100% en teoría y en práctica», y su Artículo 6 dispone que, en las carreras anualizadas, cada curso se desarrolle en forma intensiva al finalizar la gestión por un lapso mínimo de 60 días calendario, ocho semanas, con la carga horaria suficiente para desarrollar la totalidad del programa analítico. La resolución no prohíbe ofertar asignaturas troncales, sino que otorga a cada carrera la potestad de seleccionar las asignaturas que se dictan.</w:t>
      </w:r>
    </w:p>
    <w:p>
      <w:pPr>
        <w:numPr>
          <w:ilvl w:val="0"/>
          <w:numId w:val="905"/>
        </w:numPr>
        <w:spacing w:before="0" w:after="160" w:line="240" w:lineRule="auto"/>
        <w:jc w:val="both"/>
      </w:pPr>
      <w:r>
        <w:rPr>
          <w:rFonts w:ascii="Century Gothic" w:hAnsi="Century Gothic" w:cs="Century Gothic" w:eastAsia="Century Gothic"/>
          <w:b/>
          <w:i w:val="0"/>
          <w:sz w:val="20"/>
        </w:rPr>
        <w:t>Propósito:</w:t>
      </w:r>
      <w:r>
        <w:rPr>
          <w:rFonts w:ascii="Century Gothic" w:hAnsi="Century Gothic" w:cs="Century Gothic" w:eastAsia="Century Gothic"/>
          <w:b w:val="0"/>
          <w:i w:val="0"/>
          <w:sz w:val="20"/>
        </w:rPr>
        <w:t xml:space="preserve"> ofrecer a los estudiantes regulares la opción de cursar en forma intensiva, para nivelar o adelantar hasta dos asignaturas por temporada, con cumplimiento de los requisitos y prerrequisitos del plan de estudios y de los reglamentos facultativos.</w:t>
      </w:r>
    </w:p>
    <w:p>
      <w:pPr>
        <w:numPr>
          <w:ilvl w:val="0"/>
          <w:numId w:val="905"/>
        </w:numPr>
        <w:spacing w:before="0" w:after="160" w:line="240" w:lineRule="auto"/>
        <w:jc w:val="both"/>
      </w:pPr>
      <w:r>
        <w:rPr>
          <w:rFonts w:ascii="Century Gothic" w:hAnsi="Century Gothic" w:cs="Century Gothic" w:eastAsia="Century Gothic"/>
          <w:b/>
          <w:i w:val="0"/>
          <w:sz w:val="20"/>
        </w:rPr>
        <w:t>Asignaturas habilitadas:</w:t>
      </w:r>
      <w:r>
        <w:rPr>
          <w:rFonts w:ascii="Century Gothic" w:hAnsi="Century Gothic" w:cs="Century Gothic" w:eastAsia="Century Gothic"/>
          <w:b w:val="0"/>
          <w:i w:val="0"/>
          <w:sz w:val="20"/>
        </w:rPr>
        <w:t xml:space="preserve"> las 14 asignaturas de las áreas contextuales de Administración, Derecho, Economía y Matemáticas, y las troncales de 80 horas anuales: CPA-102, CPA-204, CPA-406, CPA-506, CPA-507, CPA-508, CPA-509 y CPA-510.</w:t>
      </w:r>
    </w:p>
    <w:p>
      <w:pPr>
        <w:numPr>
          <w:ilvl w:val="0"/>
          <w:numId w:val="905"/>
        </w:numPr>
        <w:spacing w:before="0" w:after="160" w:line="240" w:lineRule="auto"/>
        <w:jc w:val="both"/>
      </w:pPr>
      <w:r>
        <w:rPr>
          <w:rFonts w:ascii="Century Gothic" w:hAnsi="Century Gothic" w:cs="Century Gothic" w:eastAsia="Century Gothic"/>
          <w:b/>
          <w:i w:val="0"/>
          <w:sz w:val="20"/>
        </w:rPr>
        <w:t>Recuperación de troncales:</w:t>
      </w:r>
      <w:r>
        <w:rPr>
          <w:rFonts w:ascii="Century Gothic" w:hAnsi="Century Gothic" w:cs="Century Gothic" w:eastAsia="Century Gothic"/>
          <w:b w:val="0"/>
          <w:i w:val="0"/>
          <w:sz w:val="20"/>
        </w:rPr>
        <w:t xml:space="preserve"> las asignaturas troncales de 160 horas anuales pueden cursarse en temporada solo para recuperar una asignatura reprobada. Se elimina el requisito vigente de haber obtenido al menos 20 puntos sobre 100 en la gestión regular, y el estudiante reprobado accede a la recuperación con un esquema de tutoría complementaria obligatoria.</w:t>
      </w:r>
    </w:p>
    <w:p>
      <w:pPr>
        <w:numPr>
          <w:ilvl w:val="0"/>
          <w:numId w:val="905"/>
        </w:numPr>
        <w:spacing w:before="0" w:after="200" w:line="240" w:lineRule="auto"/>
        <w:jc w:val="both"/>
      </w:pPr>
      <w:r>
        <w:rPr>
          <w:rFonts w:ascii="Century Gothic" w:hAnsi="Century Gothic" w:cs="Century Gothic" w:eastAsia="Century Gothic"/>
          <w:b/>
          <w:i w:val="0"/>
          <w:sz w:val="20"/>
        </w:rPr>
        <w:t>Modalidad híbrida:</w:t>
      </w:r>
      <w:r>
        <w:rPr>
          <w:rFonts w:ascii="Century Gothic" w:hAnsi="Century Gothic" w:cs="Century Gothic" w:eastAsia="Century Gothic"/>
          <w:b w:val="0"/>
          <w:i w:val="0"/>
          <w:sz w:val="20"/>
        </w:rPr>
        <w:t xml:space="preserve"> el Honorable Consejo de Carrera podrá habilitar progresivamente asignaturas troncales en modalidad presencial y virtual, siempre que se cubra la totalidad del programa.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5.3.4</w:t>
        <w:tab/>
      </w:r>
      <w:r>
        <w:rPr>
          <w:rFonts w:ascii="Century Gothic" w:hAnsi="Century Gothic" w:cs="Century Gothic" w:eastAsia="Century Gothic"/>
          <w:b/>
          <w:i w:val="0"/>
          <w:sz w:val="22"/>
        </w:rPr>
        <w:t>Mesas de examen</w:t>
      </w:r>
    </w:p>
    <w:p>
      <w:pPr>
        <w:spacing w:before="0" w:after="200" w:line="240" w:lineRule="auto"/>
        <w:jc w:val="both"/>
      </w:pPr>
      <w:r>
        <w:rPr>
          <w:rFonts w:ascii="Century Gothic" w:hAnsi="Century Gothic" w:cs="Century Gothic" w:eastAsia="Century Gothic"/>
          <w:b w:val="0"/>
          <w:i w:val="0"/>
          <w:sz w:val="20"/>
        </w:rPr>
        <w:t>La mesa de examen es una modalidad de evaluación que exime al estudiante de cursar la asignatura durante la gestión, rindiendo un solo examen, y le permite nivelarse o avanzar en el plan de estudios. Se rige por la Resolución HCU N.º 352/2021, de 21 de julio de 2021, cuyo Artículo 8 establece que «la mesa de examen se aplica tan solo a las materias teóricas del plan de estudios. El Consejo de Carrera definirá la lista de materias habilitadas, debiendo dar a conocer públicamente la nómina de las mismas». Las asignaturas habilitadas son las detalladas en el punto 4.7.5. Antes de cada mesa se ofrecerán seminarios de resolución de casos como apoyo a los estudiantes inscritos.</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5.3.5</w:t>
        <w:tab/>
      </w:r>
      <w:r>
        <w:rPr>
          <w:rFonts w:ascii="Century Gothic" w:hAnsi="Century Gothic" w:cs="Century Gothic" w:eastAsia="Century Gothic"/>
          <w:b/>
          <w:i w:val="0"/>
          <w:sz w:val="22"/>
        </w:rPr>
        <w:t>Seguimiento académico y acompañamiento</w:t>
      </w:r>
    </w:p>
    <w:p>
      <w:pPr>
        <w:spacing w:before="0" w:after="200" w:line="240" w:lineRule="auto"/>
        <w:jc w:val="both"/>
      </w:pPr>
      <w:r>
        <w:rPr>
          <w:rFonts w:ascii="Century Gothic" w:hAnsi="Century Gothic" w:cs="Century Gothic" w:eastAsia="Century Gothic"/>
          <w:b w:val="0"/>
          <w:i w:val="0"/>
          <w:sz w:val="20"/>
        </w:rPr>
        <w:t>El diagnóstico identifica cuellos de botella en las asignaturas troncales de contabilidad, auditoría y tributación, un seguimiento reactivo del rendimiento y 396 estudiantes con siete a nueve años de permanencia en 2025. Para mejorar la promoción y la eficiencia terminal, el nuevo plan incorpora:</w:t>
      </w:r>
    </w:p>
    <w:p>
      <w:pPr>
        <w:numPr>
          <w:ilvl w:val="0"/>
          <w:numId w:val="906"/>
        </w:numPr>
        <w:spacing w:before="0" w:after="160" w:line="240" w:lineRule="auto"/>
        <w:jc w:val="both"/>
      </w:pPr>
      <w:r>
        <w:rPr>
          <w:rFonts w:ascii="Century Gothic" w:hAnsi="Century Gothic" w:cs="Century Gothic" w:eastAsia="Century Gothic"/>
          <w:b/>
          <w:i w:val="0"/>
          <w:sz w:val="20"/>
        </w:rPr>
        <w:t>Sistema de alerta temprana:</w:t>
      </w:r>
      <w:r>
        <w:rPr>
          <w:rFonts w:ascii="Century Gothic" w:hAnsi="Century Gothic" w:cs="Century Gothic" w:eastAsia="Century Gothic"/>
          <w:b w:val="0"/>
          <w:i w:val="0"/>
          <w:sz w:val="20"/>
        </w:rPr>
        <w:t xml:space="preserve"> el sistema de seguimiento académico, conectado al kárdex, identificará las caídas de rendimiento y las inasistencias reiteradas antes del primer parcial y activará la derivación a tutoría.</w:t>
      </w:r>
    </w:p>
    <w:p>
      <w:pPr>
        <w:numPr>
          <w:ilvl w:val="0"/>
          <w:numId w:val="906"/>
        </w:numPr>
        <w:spacing w:before="0" w:after="160" w:line="240" w:lineRule="auto"/>
        <w:jc w:val="both"/>
      </w:pPr>
      <w:r>
        <w:rPr>
          <w:rFonts w:ascii="Century Gothic" w:hAnsi="Century Gothic" w:cs="Century Gothic" w:eastAsia="Century Gothic"/>
          <w:b/>
          <w:i w:val="0"/>
          <w:sz w:val="20"/>
        </w:rPr>
        <w:t>Tutoría entre pares y auxiliaturas:</w:t>
      </w:r>
      <w:r>
        <w:rPr>
          <w:rFonts w:ascii="Century Gothic" w:hAnsi="Century Gothic" w:cs="Century Gothic" w:eastAsia="Century Gothic"/>
          <w:b w:val="0"/>
          <w:i w:val="0"/>
          <w:sz w:val="20"/>
        </w:rPr>
        <w:t xml:space="preserve"> los auxiliares de docencia destinarán horas semanales a talleres de consulta y repaso práctico en las asignaturas con mayor reprobación.</w:t>
      </w:r>
    </w:p>
    <w:p>
      <w:pPr>
        <w:numPr>
          <w:ilvl w:val="0"/>
          <w:numId w:val="906"/>
        </w:numPr>
        <w:spacing w:before="0" w:after="160" w:line="240" w:lineRule="auto"/>
        <w:jc w:val="both"/>
      </w:pPr>
      <w:r>
        <w:rPr>
          <w:rFonts w:ascii="Century Gothic" w:hAnsi="Century Gothic" w:cs="Century Gothic" w:eastAsia="Century Gothic"/>
          <w:b/>
          <w:i w:val="0"/>
          <w:sz w:val="20"/>
        </w:rPr>
        <w:t>Plan global de la asignatura:</w:t>
      </w:r>
      <w:r>
        <w:rPr>
          <w:rFonts w:ascii="Century Gothic" w:hAnsi="Century Gothic" w:cs="Century Gothic" w:eastAsia="Century Gothic"/>
          <w:b w:val="0"/>
          <w:i w:val="0"/>
          <w:sz w:val="20"/>
        </w:rPr>
        <w:t xml:space="preserve"> conforme al Artículo 32 del reglamento, el plan global de cada asignatura se da a conocer a los estudiantes en la primera semana de clases, con el tipo, la cantidad y el valor de cada procedimiento de evaluación.</w:t>
      </w:r>
    </w:p>
    <w:p>
      <w:pPr>
        <w:numPr>
          <w:ilvl w:val="0"/>
          <w:numId w:val="906"/>
        </w:numPr>
        <w:spacing w:before="0" w:after="160" w:line="240" w:lineRule="auto"/>
        <w:jc w:val="both"/>
      </w:pPr>
      <w:r>
        <w:rPr>
          <w:rFonts w:ascii="Century Gothic" w:hAnsi="Century Gothic" w:cs="Century Gothic" w:eastAsia="Century Gothic"/>
          <w:b/>
          <w:i w:val="0"/>
          <w:sz w:val="20"/>
        </w:rPr>
        <w:t>Transparencia en la evaluación:</w:t>
      </w:r>
      <w:r>
        <w:rPr>
          <w:rFonts w:ascii="Century Gothic" w:hAnsi="Century Gothic" w:cs="Century Gothic" w:eastAsia="Century Gothic"/>
          <w:b w:val="0"/>
          <w:i w:val="0"/>
          <w:sz w:val="20"/>
        </w:rPr>
        <w:t xml:space="preserve"> los docentes publicarán en la plataforma virtual el solucionario y la rúbrica de calificación dentro de las 48 horas posteriores a cada evaluación parcial, final o de mesa, para que la evaluación sea un instrumento de aprendizaje. Este plazo es más exigente que los diez días calendario que fija el Artículo 50 del reglamento para presentar las pruebas corregidas y su solucionario.</w:t>
      </w:r>
    </w:p>
    <w:p>
      <w:pPr>
        <w:numPr>
          <w:ilvl w:val="0"/>
          <w:numId w:val="906"/>
        </w:numPr>
        <w:spacing w:before="0" w:after="200" w:line="240" w:lineRule="auto"/>
        <w:jc w:val="both"/>
      </w:pPr>
      <w:r>
        <w:rPr>
          <w:rFonts w:ascii="Century Gothic" w:hAnsi="Century Gothic" w:cs="Century Gothic" w:eastAsia="Century Gothic"/>
          <w:b/>
          <w:i w:val="0"/>
          <w:sz w:val="20"/>
        </w:rPr>
        <w:t>Revisión de calificaciones:</w:t>
      </w:r>
      <w:r>
        <w:rPr>
          <w:rFonts w:ascii="Century Gothic" w:hAnsi="Century Gothic" w:cs="Century Gothic" w:eastAsia="Century Gothic"/>
          <w:b w:val="0"/>
          <w:i w:val="0"/>
          <w:sz w:val="20"/>
        </w:rPr>
        <w:t xml:space="preserve"> el estudiante que se considere perjudicado en una calificación parcial o final puede solicitar su revisión al docente y, ante su negativa, al Director de Carrera, dentro de los cinco días hábiles de publicada. La modificación solo procede por omisión o error en la calificación o en la transcripción, extravío del examen, duplicidad del nombre del estudiante o error en la ponderación, conforme a los Artículos 57 a 60 del reglamento.</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5.4</w:t>
        <w:tab/>
      </w:r>
      <w:r>
        <w:rPr>
          <w:rFonts w:ascii="Century Gothic" w:hAnsi="Century Gothic" w:cs="Century Gothic" w:eastAsia="Century Gothic"/>
          <w:b/>
          <w:i w:val="0"/>
          <w:sz w:val="24"/>
        </w:rPr>
        <w:t>Modalidades de graduación</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5.4.1</w:t>
        <w:tab/>
      </w:r>
      <w:r>
        <w:rPr>
          <w:rFonts w:ascii="Century Gothic" w:hAnsi="Century Gothic" w:cs="Century Gothic" w:eastAsia="Century Gothic"/>
          <w:b/>
          <w:i w:val="0"/>
          <w:sz w:val="22"/>
        </w:rPr>
        <w:t>Grados académicos y títulos en provisión nacional</w:t>
      </w:r>
    </w:p>
    <w:p>
      <w:pPr>
        <w:spacing w:before="0" w:after="200" w:line="240" w:lineRule="auto"/>
        <w:jc w:val="both"/>
      </w:pPr>
      <w:r>
        <w:rPr>
          <w:rFonts w:ascii="Century Gothic" w:hAnsi="Century Gothic" w:cs="Century Gothic" w:eastAsia="Century Gothic"/>
          <w:b w:val="0"/>
          <w:i w:val="0"/>
          <w:sz w:val="20"/>
        </w:rPr>
        <w:t>El plan establece salidas intermedias y la titulación de grado, que permiten la inserción laboral progresiva del estudiante:</w:t>
      </w:r>
    </w:p>
    <w:p>
      <w:pPr>
        <w:keepNext/>
        <w:spacing w:before="40" w:after="80" w:line="240" w:lineRule="auto"/>
        <w:jc w:val="center"/>
      </w:pPr>
      <w:r>
        <w:rPr>
          <w:rFonts w:ascii="Century Gothic" w:hAnsi="Century Gothic" w:cs="Century Gothic" w:eastAsia="Century Gothic"/>
          <w:b/>
          <w:i w:val="0"/>
          <w:sz w:val="20"/>
        </w:rPr>
        <w:t>Cuadro 3. Grados académicos y títulos</w:t>
      </w:r>
    </w:p>
    <w:tbl>
      <w:tblPr>
        <w:tblW w:type="auto" w:w="0"/>
        <w:jc w:val="center"/>
        <w:tblLayout w:type="fixed"/>
        <w:tblLook w:firstColumn="1" w:firstRow="1" w:lastColumn="0" w:lastRow="0" w:noHBand="0" w:noVBand="1" w:val="04A0"/>
      </w:tblPr>
      <w:tblGrid>
        <w:gridCol w:w="1474"/>
        <w:gridCol w:w="3061"/>
        <w:gridCol w:w="2381"/>
        <w:gridCol w:w="2154"/>
      </w:tblGrid>
      <w:tr>
        <w:trPr>
          <w:tblHeader/>
        </w:trPr>
        <w:tc>
          <w:tcPr>
            <w:tcW w:type="dxa" w:w="147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Nivel</w:t>
            </w:r>
          </w:p>
        </w:tc>
        <w:tc>
          <w:tcPr>
            <w:tcW w:type="dxa" w:w="30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Requisitos</w:t>
            </w:r>
          </w:p>
        </w:tc>
        <w:tc>
          <w:tcPr>
            <w:tcW w:type="dxa" w:w="238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Grado académico</w:t>
            </w:r>
          </w:p>
        </w:tc>
        <w:tc>
          <w:tcPr>
            <w:tcW w:type="dxa" w:w="215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Título en provisión nacional</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Técnico Universitario Medio</w:t>
            </w:r>
          </w:p>
        </w:tc>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Aprobación de todas las asignaturas de primero y segundo año, 16 asignaturas, en el tiempo determinado de dos años</w:t>
            </w:r>
          </w:p>
        </w:tc>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Técnico Universitario Medio, Auxiliar en Contabilidad General</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Auxiliar en Contabilidad General</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Técnico Universitario Superior</w:t>
            </w:r>
          </w:p>
        </w:tc>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Conclusión del tercer año, 24 asignaturas, y aprobación del examen de grado</w:t>
            </w:r>
          </w:p>
        </w:tc>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Técnico Universitario Superior en Contabilidad General</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Contador General</w:t>
            </w:r>
          </w:p>
        </w:tc>
      </w:tr>
      <w:tr>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Licenciatura</w:t>
            </w:r>
          </w:p>
        </w:tc>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Conclusión del quinto año, 43 asignaturas, con certificado de egreso, y aprobación de una modalidad de graduación</w:t>
            </w:r>
          </w:p>
        </w:tc>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Licenciado(a) en Contaduría Pública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Contador Público Autorizado</w:t>
            </w:r>
          </w:p>
        </w:tc>
      </w:tr>
    </w:tbl>
    <w:p>
      <w:pPr>
        <w:spacing w:before="40" w:after="200" w:line="240" w:lineRule="auto"/>
        <w:jc w:val="left"/>
      </w:pPr>
      <w:r>
        <w:rPr>
          <w:rFonts w:ascii="Century Gothic" w:hAnsi="Century Gothic" w:cs="Century Gothic" w:eastAsia="Century Gothic"/>
          <w:b w:val="0"/>
          <w:i w:val="0"/>
          <w:sz w:val="16"/>
        </w:rPr>
        <w:t>Fuente: Resoluciones HCU N.º 426/2024, 290/2016 y 438/2012.</w:t>
      </w:r>
    </w:p>
    <w:p>
      <w:pPr>
        <w:spacing w:before="0" w:after="200" w:line="240" w:lineRule="auto"/>
        <w:jc w:val="both"/>
      </w:pPr>
      <w:r>
        <w:rPr>
          <w:rFonts w:ascii="Century Gothic" w:hAnsi="Century Gothic" w:cs="Century Gothic" w:eastAsia="Century Gothic"/>
          <w:b w:val="0"/>
          <w:i w:val="0"/>
          <w:sz w:val="20"/>
        </w:rPr>
        <w:t>Estos grados se encuentran tipificados en el Artículo 4 del Reglamento General de Títulos y Grados del Sistema de la Universidad Boliviana. La Resolución HCU N.º 426/2024, de 24 de julio de 2024, incluye el grado de Técnico Universitario Medio en el Cuadro General de Grados de la UMSA, y el Artículo 65 del Reglamento del Régimen Académico Estudiantil dispone que las carreras de licenciatura incluyan, cuando corresponda, la graduación de técnico superior.</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5.4.2</w:t>
        <w:tab/>
      </w:r>
      <w:r>
        <w:rPr>
          <w:rFonts w:ascii="Century Gothic" w:hAnsi="Century Gothic" w:cs="Century Gothic" w:eastAsia="Century Gothic"/>
          <w:b/>
          <w:i w:val="0"/>
          <w:sz w:val="22"/>
        </w:rPr>
        <w:t>Modalidades de graduación para la licenciatura</w:t>
      </w:r>
    </w:p>
    <w:p>
      <w:pPr>
        <w:spacing w:before="0" w:after="200" w:line="240" w:lineRule="auto"/>
        <w:jc w:val="both"/>
      </w:pPr>
      <w:r>
        <w:rPr>
          <w:rFonts w:ascii="Century Gothic" w:hAnsi="Century Gothic" w:cs="Century Gothic" w:eastAsia="Century Gothic"/>
          <w:b w:val="0"/>
          <w:i w:val="0"/>
          <w:sz w:val="20"/>
        </w:rPr>
        <w:t>El Artículo 66 del Reglamento del Régimen Académico Estudiantil, que remite al Artículo 5 del Reglamento General de Tipos y Modalidades de Graduación aprobado en el XI Congreso Nacional de Universidades, establece para la licenciatura la tesis de grado, el proyecto de grado, el examen de grado, el internado rotatorio, el trabajo dirigido y la graduación por excelencia. El estudiante que concluya las 43 asignaturas puede optar por una de las modalidades siguientes. La Carrera no aplica el internado rotatorio, propio de las ciencias de la salud. Todas se califican en una escala de 1 a 100 puntos, con 51 puntos como nota mínima de aprobación.</w:t>
      </w:r>
    </w:p>
    <w:p>
      <w:pPr>
        <w:spacing w:before="0" w:after="200" w:line="240" w:lineRule="auto"/>
        <w:jc w:val="both"/>
      </w:pPr>
      <w:r>
        <w:rPr>
          <w:rFonts w:ascii="Century Gothic" w:hAnsi="Century Gothic" w:cs="Century Gothic" w:eastAsia="Century Gothic"/>
          <w:b/>
          <w:i w:val="0"/>
          <w:sz w:val="20"/>
        </w:rPr>
        <w:t>a. Tesis de grado.</w:t>
      </w:r>
      <w:r>
        <w:rPr>
          <w:rFonts w:ascii="Century Gothic" w:hAnsi="Century Gothic" w:cs="Century Gothic" w:eastAsia="Century Gothic"/>
          <w:b w:val="0"/>
          <w:i w:val="0"/>
          <w:sz w:val="20"/>
        </w:rPr>
        <w:t xml:space="preserve"> Trabajo de investigación científica individual que aplica una metodología adecuada para identificar, analizar y proponer una solución teórica o práctica a un problema relevante de la profesión contable, el aseguramiento o las finanzas, vinculado a las líneas del Instituto de Investigaciones. Se tramita con el certificado de egreso, la designación de un tutor académico y la aprobación del perfil por un tribunal de tres docentes especialistas, que luego actúa como tribunal examinador. El plazo de elaboración es de doce meses, ampliable por tres meses mediante resolución. Su ponderación es la siguiente:</w:t>
      </w:r>
    </w:p>
    <w:tbl>
      <w:tblPr>
        <w:tblW w:type="auto" w:w="0"/>
        <w:jc w:val="center"/>
        <w:tblLayout w:type="fixed"/>
        <w:tblLook w:firstColumn="1" w:firstRow="1" w:lastColumn="0" w:lastRow="0" w:noHBand="0" w:noVBand="1" w:val="04A0"/>
      </w:tblPr>
      <w:tblGrid>
        <w:gridCol w:w="6803"/>
        <w:gridCol w:w="2268"/>
      </w:tblGrid>
      <w:tr>
        <w:trPr>
          <w:tblHeader/>
        </w:trPr>
        <w:tc>
          <w:tcPr>
            <w:tcW w:type="dxa" w:w="6803"/>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Componente</w:t>
            </w:r>
          </w:p>
        </w:tc>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Puntos</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Presentación y contenido del trabajo escrito: coherencia metodológica, aporte científico, marco teórico y rigor en los hallazgos</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50</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Sustentación oral: dominio técnico, claridad y orden de la presentación</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30</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Defensa y respuestas al tribunal: capacidad de argumentación</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20</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Total</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i w:val="0"/>
                <w:sz w:val="20"/>
              </w:rPr>
              <w:t>100</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i w:val="0"/>
          <w:sz w:val="20"/>
        </w:rPr>
        <w:t>b. Proyecto de grado.</w:t>
      </w:r>
      <w:r>
        <w:rPr>
          <w:rFonts w:ascii="Century Gothic" w:hAnsi="Century Gothic" w:cs="Century Gothic" w:eastAsia="Century Gothic"/>
          <w:b w:val="0"/>
          <w:i w:val="0"/>
          <w:sz w:val="20"/>
        </w:rPr>
        <w:t xml:space="preserve"> Investigación aplicada orientada al diseño e implementación de una solución práctica de uso social, empresarial o institucional, como un sistema de costos para un sector emergente, la implementación de un sistema de gestión empresarial o un modelo de control interno o de gestión de riesgos, con profundidad metodológica equivalente a la tesis. Sigue el mismo procedimiento, plazos y tribunal que la tesis. Su ponderación es: presentación y contenido del trabajo escrito, 45 puntos; sustentación oral y demostración, 30 puntos; y defensa y respuestas, 25 puntos.</w:t>
      </w:r>
    </w:p>
    <w:p>
      <w:pPr>
        <w:spacing w:before="0" w:after="200" w:line="240" w:lineRule="auto"/>
        <w:jc w:val="both"/>
      </w:pPr>
      <w:r>
        <w:rPr>
          <w:rFonts w:ascii="Century Gothic" w:hAnsi="Century Gothic" w:cs="Century Gothic" w:eastAsia="Century Gothic"/>
          <w:b/>
          <w:i w:val="0"/>
          <w:sz w:val="20"/>
        </w:rPr>
        <w:t>c. Trabajo dirigido, externo o interno.</w:t>
      </w:r>
      <w:r>
        <w:rPr>
          <w:rFonts w:ascii="Century Gothic" w:hAnsi="Century Gothic" w:cs="Century Gothic" w:eastAsia="Century Gothic"/>
          <w:b w:val="0"/>
          <w:i w:val="0"/>
          <w:sz w:val="20"/>
        </w:rPr>
        <w:t xml:space="preserve"> Regulado por la Resolución HCU N.º 330/2022, de 18 de agosto de 2022, es un trabajo práctico preprofesional individual o grupal, de hasta tres postulantes, desarrollado en entidades públicas o privadas con convenio suscrito por el Rector o el Decano, en el caso externo, o en dependencias de la UMSA, en el caso interno. Requisitos: promedio académico acumulado no menor a 60 puntos y dedicación exclusiva por un periodo de hasta ocho meses. El estudiante cuenta con un tutor profesional de la entidad y un tutor docente, presenta dos informes trimestrales y un informe final, y expone públicamente sus resultados. La calificación corresponde en un 85 % a la evaluación continua de los informes y en un 15 % a la presentación pública ante tribunal. Esta modalidad se articula con las prácticas preprofesionales del punto 4.8. El Artículo 79 del reglamento admite el trabajo colectivo en las modalidades de graduación, sujeto a reglamentación especial.</w:t>
      </w:r>
    </w:p>
    <w:p>
      <w:pPr>
        <w:keepNext/>
        <w:spacing w:before="40" w:after="80" w:line="240" w:lineRule="auto"/>
        <w:jc w:val="center"/>
      </w:pPr>
      <w:r>
        <w:rPr>
          <w:rFonts w:ascii="Century Gothic" w:hAnsi="Century Gothic" w:cs="Century Gothic" w:eastAsia="Century Gothic"/>
          <w:b/>
          <w:i w:val="0"/>
          <w:sz w:val="20"/>
        </w:rPr>
        <w:t>Cuadro 4. Escala de calificación del trabajo dirigido</w:t>
      </w:r>
    </w:p>
    <w:tbl>
      <w:tblPr>
        <w:tblW w:type="auto" w:w="0"/>
        <w:jc w:val="center"/>
        <w:tblLayout w:type="fixed"/>
        <w:tblLook w:firstColumn="1" w:firstRow="1" w:lastColumn="0" w:lastRow="0" w:noHBand="0" w:noVBand="1" w:val="04A0"/>
      </w:tblPr>
      <w:tblGrid>
        <w:gridCol w:w="6236"/>
        <w:gridCol w:w="2835"/>
      </w:tblGrid>
      <w:tr>
        <w:trPr>
          <w:tblHeader/>
        </w:trPr>
        <w:tc>
          <w:tcPr>
            <w:tcW w:type="dxa" w:w="6236"/>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Calificación cualitativa</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Puntaje</w:t>
            </w:r>
          </w:p>
        </w:tc>
      </w:tr>
      <w:tr>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Reprobado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0 a 50</w:t>
            </w:r>
          </w:p>
        </w:tc>
      </w:tr>
      <w:tr>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Aprobado, bueno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51 a 70</w:t>
            </w:r>
          </w:p>
        </w:tc>
      </w:tr>
      <w:tr>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Sobresaliente, con recomendación de publicación</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71 a 89</w:t>
            </w:r>
          </w:p>
        </w:tc>
      </w:tr>
      <w:tr>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Excelente, con mención honorífica y recomendación de publicación</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90 a 100</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i w:val="0"/>
          <w:sz w:val="20"/>
        </w:rPr>
        <w:t>d. Examen de grado por ciclos.</w:t>
      </w:r>
      <w:r>
        <w:rPr>
          <w:rFonts w:ascii="Century Gothic" w:hAnsi="Century Gothic" w:cs="Century Gothic" w:eastAsia="Century Gothic"/>
          <w:b w:val="0"/>
          <w:i w:val="0"/>
          <w:sz w:val="20"/>
        </w:rPr>
        <w:t xml:space="preserve"> Mide la efectividad de la formación global mediante pruebas teórico prácticas presenciales ante tribunales de docentes de las asignaturas evaluadas. Las asignaturas troncales se agrupan en tres ciclos, cada uno con un examen que se aprueba con 51 puntos; los exámenes incluyen los conocimientos de administración, matemáticas, economía y derecho aplicados a la profesión. El Director de Carrera convoca como mínimo cuatro veces al año, y el sorteo de bolos se realiza con 24 horas de anticipación.</w:t>
      </w:r>
    </w:p>
    <w:p>
      <w:pPr>
        <w:keepNext/>
        <w:spacing w:before="40" w:after="80" w:line="240" w:lineRule="auto"/>
        <w:jc w:val="center"/>
      </w:pPr>
      <w:r>
        <w:rPr>
          <w:rFonts w:ascii="Century Gothic" w:hAnsi="Century Gothic" w:cs="Century Gothic" w:eastAsia="Century Gothic"/>
          <w:b/>
          <w:i w:val="0"/>
          <w:sz w:val="20"/>
        </w:rPr>
        <w:t>Cuadro 5. Ciclos del examen de grado de licenciatura</w:t>
      </w:r>
    </w:p>
    <w:tbl>
      <w:tblPr>
        <w:tblW w:type="auto" w:w="0"/>
        <w:jc w:val="center"/>
        <w:tblLayout w:type="fixed"/>
        <w:tblLook w:firstColumn="1" w:firstRow="1" w:lastColumn="0" w:lastRow="0" w:noHBand="0" w:noVBand="1" w:val="04A0"/>
      </w:tblPr>
      <w:tblGrid>
        <w:gridCol w:w="3005"/>
        <w:gridCol w:w="3005"/>
        <w:gridCol w:w="3061"/>
      </w:tblGrid>
      <w:tr>
        <w:trPr>
          <w:tblHeader/>
        </w:trPr>
        <w:tc>
          <w:tcPr>
            <w:tcW w:type="dxa" w:w="300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Ciclo básico de información financiera y de gestión</w:t>
            </w:r>
          </w:p>
        </w:tc>
        <w:tc>
          <w:tcPr>
            <w:tcW w:type="dxa" w:w="300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Ciclo especializado de información financiera y finanzas</w:t>
            </w:r>
          </w:p>
        </w:tc>
        <w:tc>
          <w:tcPr>
            <w:tcW w:type="dxa" w:w="30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Ciclo de servicios de aseguramiento</w:t>
            </w:r>
          </w:p>
        </w:tc>
      </w:tr>
      <w:tr>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Contabilidad Básica</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Contabilidad Intermedia</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Contabilidad de Sociedades</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Contabilidad de Tributos</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Contabilidad Internacional</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Contabilidad de Costos y Gestión</w:t>
            </w:r>
          </w:p>
        </w:tc>
        <w:tc>
          <w:tcPr>
            <w:tcW w:type="dxa" w:w="3005"/>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Contabilidad de Bancos y Entidades Financieras</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Contabilidad de Seguros: Privado y Social</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Contabilidad Minera y Petrolera</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Contabilidad Agrícola y Ganadera</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Contabilidad y Presupuestos Gubernamental</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Finanzas Corporativas</w:t>
            </w:r>
          </w:p>
        </w:tc>
        <w:tc>
          <w:tcPr>
            <w:tcW w:type="dxa" w:w="3061"/>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Auditoría Financiera</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Auditoría Interna, Control Interno y Gestión de Riesgos</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Auditoría Operativa</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Auditoría Gubernamental</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Auditoría Tributaria</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Auditoría de Proyectos Públicos y Privados</w:t>
            </w:r>
          </w:p>
          <w:p>
            <w:pPr>
              <w:tabs>
                <w:tab w:pos="255" w:val="left"/>
              </w:tabs>
              <w:spacing w:before="0" w:after="0" w:line="240" w:lineRule="auto"/>
              <w:ind w:left="255" w:hanging="255"/>
              <w:jc w:val="both"/>
            </w:pPr>
            <w:r>
              <w:rPr>
                <w:rFonts w:ascii="Century Gothic" w:hAnsi="Century Gothic" w:cs="Century Gothic" w:eastAsia="Century Gothic"/>
                <w:sz w:val="20"/>
              </w:rPr>
              <w:t>▪</w:t>
              <w:tab/>
            </w:r>
            <w:r>
              <w:rPr>
                <w:rFonts w:ascii="Century Gothic" w:hAnsi="Century Gothic" w:cs="Century Gothic" w:eastAsia="Century Gothic"/>
                <w:b w:val="0"/>
                <w:i w:val="0"/>
                <w:sz w:val="20"/>
              </w:rPr>
              <w:t>Auditoría de Entidades Financieras y Servicios Relacionados</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Antes de cada convocatoria se organizarán talleres de repaso de una a dos semanas, a cargo de los docentes de cada área. El postulante que repruebe tres veces un mismo ciclo no queda inhabilitado de forma definitiva: puede recuperar su derecho mediante un diplomado de actualización o un programa de créditos complementarios, conforme al reglamento específico.</w:t>
      </w:r>
    </w:p>
    <w:p>
      <w:pPr>
        <w:spacing w:before="0" w:after="200" w:line="240" w:lineRule="auto"/>
        <w:jc w:val="both"/>
      </w:pPr>
      <w:r>
        <w:rPr>
          <w:rFonts w:ascii="Century Gothic" w:hAnsi="Century Gothic" w:cs="Century Gothic" w:eastAsia="Century Gothic"/>
          <w:b/>
          <w:i w:val="0"/>
          <w:sz w:val="20"/>
        </w:rPr>
        <w:t>e. Graduación por excelencia.</w:t>
      </w:r>
      <w:r>
        <w:rPr>
          <w:rFonts w:ascii="Century Gothic" w:hAnsi="Century Gothic" w:cs="Century Gothic" w:eastAsia="Century Gothic"/>
          <w:b w:val="0"/>
          <w:i w:val="0"/>
          <w:sz w:val="20"/>
        </w:rPr>
        <w:t xml:space="preserve"> Exime al estudiante sobresaliente de exámenes o trabajos finales, como reconocimiento a su rendimiento continuo. Requisitos: haber aprobado las 43 asignaturas en primera instancia, sin reprobaciones, abandonos ni mesas de examen; haber concluido el plan en el tiempo reglamentario de cinco años; y acreditar un promedio general igual o superior al fijado por la normativa de la Facultad y de la UMSA, actualmente de 75 puntos. Se tramita con la verificación del kárdex y concluye con la resolución que otorga la titulación.</w:t>
      </w:r>
    </w:p>
    <w:p>
      <w:pPr>
        <w:spacing w:before="0" w:after="200" w:line="240" w:lineRule="auto"/>
        <w:jc w:val="both"/>
      </w:pPr>
      <w:r>
        <w:rPr>
          <w:rFonts w:ascii="Century Gothic" w:hAnsi="Century Gothic" w:cs="Century Gothic" w:eastAsia="Century Gothic"/>
          <w:b/>
          <w:i w:val="0"/>
          <w:sz w:val="20"/>
        </w:rPr>
        <w:t>f. Articulación entre grado y postgrado mediante diplomado.</w:t>
      </w:r>
      <w:r>
        <w:rPr>
          <w:rFonts w:ascii="Century Gothic" w:hAnsi="Century Gothic" w:cs="Century Gothic" w:eastAsia="Century Gothic"/>
          <w:b w:val="0"/>
          <w:i w:val="0"/>
          <w:sz w:val="20"/>
        </w:rPr>
        <w:t xml:space="preserve"> Conforme al Título IV del Reglamento General de Estudios de Posgrado del Sistema de la Universidad Boliviana y al Artículo 82 del Reglamento del Régimen Académico Estudiantil, que permite al estudiante participar en cursos de diplomado durante el periodo de su modalidad de graduación, el estudiante de quinto año o egresado puede cursar un diplomado acreditado y aprobado por el Honorable Consejo Facultativo, en áreas de especialización contable o de aseguramiento, como tributación internacional, auditoría digital o gestión integral de riesgos, y titularse mediante una monografía de investigación aplicada, un examen de contenidos del programa o la graduación por excelencia en el diplomado. La carga horaria del diplomado se ajusta a la normativa de postgrado vigente.</w:t>
      </w:r>
    </w:p>
    <w:p>
      <w:pPr>
        <w:spacing w:before="0" w:after="200" w:line="240" w:lineRule="auto"/>
        <w:jc w:val="both"/>
      </w:pPr>
      <w:r>
        <w:rPr>
          <w:rFonts w:ascii="Century Gothic" w:hAnsi="Century Gothic" w:cs="Century Gothic" w:eastAsia="Century Gothic"/>
          <w:b/>
          <w:i w:val="0"/>
          <w:sz w:val="20"/>
        </w:rPr>
        <w:t>g. Plan Excepcional de Titulación para Antiguos Estudiantes No Graduados, PETAENG.</w:t>
      </w:r>
      <w:r>
        <w:rPr>
          <w:rFonts w:ascii="Century Gothic" w:hAnsi="Century Gothic" w:cs="Century Gothic" w:eastAsia="Century Gothic"/>
          <w:b w:val="0"/>
          <w:i w:val="0"/>
          <w:sz w:val="20"/>
        </w:rPr>
        <w:t xml:space="preserve"> Programa de actualización y titulación dirigido a egresados que concluyeron el plan de estudios y tienen tres o más años de antigüedad sin haberse graduado. Comprende módulos de actualización profesional y un trabajo académico diferenciado, como una actualización normativa, una monografía de sistematización o un proyecto de aplicación, con defensa oral ante tribunal.</w:t>
      </w:r>
    </w:p>
    <w:p>
      <w:pPr>
        <w:spacing w:before="0" w:after="200" w:line="240" w:lineRule="auto"/>
        <w:jc w:val="both"/>
      </w:pPr>
      <w:r>
        <w:rPr>
          <w:rFonts w:ascii="Century Gothic" w:hAnsi="Century Gothic" w:cs="Century Gothic" w:eastAsia="Century Gothic"/>
          <w:b w:val="0"/>
          <w:i w:val="0"/>
          <w:sz w:val="20"/>
        </w:rPr>
        <w:t>Las modalidades del plan se corresponden con las del reglamento de la siguiente manera:</w:t>
      </w:r>
    </w:p>
    <w:p>
      <w:pPr>
        <w:keepNext/>
        <w:spacing w:before="40" w:after="80" w:line="240" w:lineRule="auto"/>
        <w:jc w:val="center"/>
      </w:pPr>
      <w:r>
        <w:rPr>
          <w:rFonts w:ascii="Century Gothic" w:hAnsi="Century Gothic" w:cs="Century Gothic" w:eastAsia="Century Gothic"/>
          <w:b/>
          <w:i w:val="0"/>
          <w:sz w:val="20"/>
        </w:rPr>
        <w:t>Cuadro 6. Correspondencia de las modalidades de graduación con el reglamento</w:t>
      </w:r>
    </w:p>
    <w:tbl>
      <w:tblPr>
        <w:tblW w:type="auto" w:w="0"/>
        <w:jc w:val="center"/>
        <w:tblLayout w:type="fixed"/>
        <w:tblLook w:firstColumn="1" w:firstRow="1" w:lastColumn="0" w:lastRow="0" w:noHBand="0" w:noVBand="1" w:val="04A0"/>
      </w:tblPr>
      <w:tblGrid>
        <w:gridCol w:w="2835"/>
        <w:gridCol w:w="5102"/>
        <w:gridCol w:w="1134"/>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Modalidad del plan</w:t>
            </w:r>
          </w:p>
        </w:tc>
        <w:tc>
          <w:tcPr>
            <w:tcW w:type="dxa" w:w="51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Modalidad del reglamento</w:t>
            </w:r>
          </w:p>
        </w:tc>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Artículo</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Tesis de grado</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Tesis de grado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67</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Proyecto de grado</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Proyecto de grado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68</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Trabajo dirigido externo</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Trabajo dirigido externo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71</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Trabajo dirigido interno</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Trabajo dirigido, internado por adscripción</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71</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Examen de grado por ciclos</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Examen de grado, en su forma de examen de contenidos</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69</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Graduación por excelencia</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Graduación por excelencia, por rendimiento académico</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72</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Diplomado de articulación con el postgrado</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Participación en cursos de diplomado durante el periodo de graduación, según reglamentación específica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82</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PETAENG</w:t>
            </w:r>
          </w:p>
        </w:tc>
        <w:tc>
          <w:tcPr>
            <w:tcW w:type="dxa" w:w="51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No figura entre las modalidades del Artículo 66; es un programa excepcional de titulación aprobado por la UMSA</w:t>
            </w:r>
          </w:p>
        </w:tc>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w:t>
            </w:r>
          </w:p>
        </w:tc>
      </w:tr>
    </w:tbl>
    <w:p>
      <w:pPr>
        <w:spacing w:before="40" w:after="200" w:line="240" w:lineRule="auto"/>
        <w:jc w:val="left"/>
      </w:pPr>
      <w:r>
        <w:rPr>
          <w:rFonts w:ascii="Century Gothic" w:hAnsi="Century Gothic" w:cs="Century Gothic" w:eastAsia="Century Gothic"/>
          <w:b w:val="0"/>
          <w:i w:val="0"/>
          <w:sz w:val="16"/>
        </w:rPr>
        <w:t>Fuente: Reglamento del Régimen Académico Estudiantil del Sistema de la Universidad Boliviana, Capítulo IX.</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5.4.3</w:t>
        <w:tab/>
      </w:r>
      <w:r>
        <w:rPr>
          <w:rFonts w:ascii="Century Gothic" w:hAnsi="Century Gothic" w:cs="Century Gothic" w:eastAsia="Century Gothic"/>
          <w:b/>
          <w:i w:val="0"/>
          <w:sz w:val="22"/>
        </w:rPr>
        <w:t>Modalidades de graduación para los grados técnicos</w:t>
      </w:r>
    </w:p>
    <w:p>
      <w:pPr>
        <w:spacing w:before="0" w:after="200" w:line="240" w:lineRule="auto"/>
        <w:jc w:val="both"/>
      </w:pPr>
      <w:r>
        <w:rPr>
          <w:rFonts w:ascii="Century Gothic" w:hAnsi="Century Gothic" w:cs="Century Gothic" w:eastAsia="Century Gothic"/>
          <w:b/>
          <w:i w:val="0"/>
          <w:sz w:val="20"/>
        </w:rPr>
        <w:t>a. Técnico Universitario Medio.</w:t>
      </w:r>
      <w:r>
        <w:rPr>
          <w:rFonts w:ascii="Century Gothic" w:hAnsi="Century Gothic" w:cs="Century Gothic" w:eastAsia="Century Gothic"/>
          <w:b w:val="0"/>
          <w:i w:val="0"/>
          <w:sz w:val="20"/>
        </w:rPr>
        <w:t xml:space="preserve"> Se obtiene por graduación directa, que el Artículo 73 del reglamento reserva para el Bachiller Universitario en Ciencias o Artes y para el Técnico Universitario Medio, y que se otorga inmediatamente a la conclusión satisfactoria de los estudios. Conforme al Artículo Segundo de la Resolución HCU N.º 426/2024, el requisito ineludible para extender el Diploma Académico y el Título Profesional de Técnico Universitario Medio es la aprobación de todas las asignaturas de primero y segundo año en el tiempo determinado de dos años, inexcusablemente. Los actos de colación se programan cada tres meses en predios de la Facultad, según el Artículo Quinto de la misma resolución.</w:t>
      </w:r>
    </w:p>
    <w:p>
      <w:pPr>
        <w:spacing w:before="0" w:after="200" w:line="240" w:lineRule="auto"/>
        <w:jc w:val="both"/>
      </w:pPr>
      <w:r>
        <w:rPr>
          <w:rFonts w:ascii="Century Gothic" w:hAnsi="Century Gothic" w:cs="Century Gothic" w:eastAsia="Century Gothic"/>
          <w:b/>
          <w:i w:val="0"/>
          <w:sz w:val="20"/>
        </w:rPr>
        <w:t>b. Técnico Universitario Superior.</w:t>
      </w:r>
      <w:r>
        <w:rPr>
          <w:rFonts w:ascii="Century Gothic" w:hAnsi="Century Gothic" w:cs="Century Gothic" w:eastAsia="Century Gothic"/>
          <w:b w:val="0"/>
          <w:i w:val="0"/>
          <w:sz w:val="20"/>
        </w:rPr>
        <w:t xml:space="preserve"> El grado de Técnico Universitario Superior en Contabilidad General se obtiene mediante el examen de grado técnico superior, que se rinde después de aprobar las 24 asignaturas hasta el tercer año. Es un examen único ante tribunal, convocado por el Director de Carrera dos veces al año, con la participación de los docentes de las asignaturas evaluadas, y se aprueba con 51 puntos sobre 100. Comprende las siguientes asignaturas: Contabilidad Básica, Contabilidad Intermedia, Contabilidad de Sociedades, Contabilidad de Tributos, Contabilidad Internacional, Contabilidad de Costos y Gestión, Contabilidad de Bancos y Entidades Financieras, y Contabilidad y Presupuestos Gubernamental.</w:t>
      </w:r>
    </w:p>
    <w:tbl>
      <w:tblPr>
        <w:tblW w:type="auto" w:w="0"/>
        <w:jc w:val="center"/>
        <w:tblLook w:firstColumn="1" w:firstRow="1" w:lastColumn="0" w:lastRow="0" w:noHBand="0" w:noVBand="1" w:val="04A0"/>
      </w:tblPr>
      <w:tblGrid>
        <w:gridCol w:w="9405"/>
      </w:tblGrid>
      <w:tr>
        <w:tc>
          <w:tcPr>
            <w:tcW w:type="dxa" w:w="8787"/>
            <w:tcBorders>
              <w:top w:val="single" w:sz="6" w:space="0" w:color="404040"/>
              <w:left w:val="single" w:sz="6" w:space="0" w:color="404040"/>
              <w:bottom w:val="single" w:sz="6" w:space="0" w:color="404040"/>
              <w:right w:val="single" w:sz="6" w:space="0" w:color="404040"/>
            </w:tcBorders>
            <w:tcMar>
              <w:top w:w="140" w:type="dxa"/>
              <w:left w:w="140" w:type="dxa"/>
              <w:bottom w:w="140" w:type="dxa"/>
              <w:right w:w="140" w:type="dxa"/>
            </w:tcMar>
          </w:tcPr>
          <w:p>
            <w:pPr>
              <w:spacing w:before="60" w:after="60" w:line="240" w:lineRule="auto"/>
              <w:jc w:val="both"/>
            </w:pPr>
            <w:r>
              <w:rPr>
                <w:rFonts w:ascii="Century Gothic" w:hAnsi="Century Gothic" w:cs="Century Gothic" w:eastAsia="Century Gothic"/>
                <w:b/>
                <w:i w:val="0"/>
                <w:sz w:val="20"/>
              </w:rPr>
              <w:t>Observaciones para la comisión</w:t>
            </w:r>
          </w:p>
          <w:p>
            <w:pPr>
              <w:spacing w:before="60" w:after="60" w:line="240" w:lineRule="auto"/>
              <w:jc w:val="both"/>
            </w:pPr>
            <w:r>
              <w:rPr>
                <w:rFonts w:ascii="Century Gothic" w:hAnsi="Century Gothic" w:cs="Century Gothic" w:eastAsia="Century Gothic"/>
                <w:b w:val="0"/>
                <w:i w:val="0"/>
                <w:sz w:val="20"/>
              </w:rPr>
              <w:t>1. El Artículo 66 del Reglamento del Régimen Académico Estudiantil establece para el Técnico Universitario Superior la pasantía, la monografía y el proyecto de grado técnico, en sus formas de proyecto técnico y tesina, y no incluye el examen de grado. La comisión debe confirmar si el examen de grado técnico superior de la Carrera tiene respaldo en la Resolución HCU N.º 290/2016 u otra norma de la UMSA, o si se adoptan las modalidades del reglamento.</w:t>
            </w:r>
          </w:p>
          <w:p>
            <w:pPr>
              <w:spacing w:before="60" w:after="60" w:line="240" w:lineRule="auto"/>
              <w:jc w:val="both"/>
            </w:pPr>
            <w:r>
              <w:rPr>
                <w:rFonts w:ascii="Century Gothic" w:hAnsi="Century Gothic" w:cs="Century Gothic" w:eastAsia="Century Gothic"/>
                <w:b w:val="0"/>
                <w:i w:val="0"/>
                <w:sz w:val="20"/>
              </w:rPr>
              <w:t>2. Los considerandos de la Resolución HCU N.º 426/2024 citan el Reglamento General de Títulos y Grados, que fija para el Técnico Universitario Medio en régimen anual un tiempo de estudio de un año y medio a dos años y de 8 a 11 materias. El plan propone 16 asignaturas en primero y segundo año. La comisión debe confirmar la viabilidad de esta salida intermedia o gestionar su autorización específica.</w:t>
            </w:r>
          </w:p>
        </w:tc>
      </w:tr>
    </w:tbl>
    <w:p>
      <w:pPr>
        <w:spacing w:before="0" w:after="120" w:line="240" w:lineRule="auto"/>
        <w:jc w:val="left"/>
      </w:pP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5.4.4</w:t>
        <w:tab/>
      </w:r>
      <w:r>
        <w:rPr>
          <w:rFonts w:ascii="Century Gothic" w:hAnsi="Century Gothic" w:cs="Century Gothic" w:eastAsia="Century Gothic"/>
          <w:b/>
          <w:i w:val="0"/>
          <w:sz w:val="22"/>
        </w:rPr>
        <w:t>Simplificación de los trámites de graduación</w:t>
      </w:r>
    </w:p>
    <w:p>
      <w:pPr>
        <w:spacing w:before="0" w:after="200" w:line="240" w:lineRule="auto"/>
        <w:jc w:val="both"/>
      </w:pPr>
      <w:r>
        <w:rPr>
          <w:rFonts w:ascii="Century Gothic" w:hAnsi="Century Gothic" w:cs="Century Gothic" w:eastAsia="Century Gothic"/>
          <w:b w:val="0"/>
          <w:i w:val="0"/>
          <w:sz w:val="20"/>
        </w:rPr>
        <w:t>El diagnóstico identifica trámites que encarecen y demoran la graduación, como la entrega de siete ejemplares empastados en varias etapas de revisión. Por ello, la presentación, la revisión de perfiles y borradores y la entrega de tesis, proyectos de grado y trabajos dirigidos se realizarán en formato digital con firma digital o correo institucional, y la entrega física se limitará a un ejemplar empastado final para la Biblioteca de la Carrera.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5.4.5</w:t>
        <w:tab/>
      </w:r>
      <w:r>
        <w:rPr>
          <w:rFonts w:ascii="Century Gothic" w:hAnsi="Century Gothic" w:cs="Century Gothic" w:eastAsia="Century Gothic"/>
          <w:b/>
          <w:i w:val="0"/>
          <w:sz w:val="22"/>
        </w:rPr>
        <w:t>Trámite de grados y títulos</w:t>
      </w:r>
    </w:p>
    <w:p>
      <w:pPr>
        <w:spacing w:before="0" w:after="200" w:line="240" w:lineRule="auto"/>
        <w:jc w:val="both"/>
      </w:pPr>
      <w:r>
        <w:rPr>
          <w:rFonts w:ascii="Century Gothic" w:hAnsi="Century Gothic" w:cs="Century Gothic" w:eastAsia="Century Gothic"/>
          <w:b w:val="0"/>
          <w:i w:val="0"/>
          <w:sz w:val="20"/>
        </w:rPr>
        <w:t>Aprobada la modalidad de graduación y registrada en el acta de defensa, el graduado tramita el Diploma Académico de Licenciado(a) en Contaduría Pública, expedido por la UMSA tras la verificación de su expediente en el Departamento de Títulos y Grados, y el Título en Provisión Nacional de Contador Público Autorizado, que habilita el ejercicio legal de la profesión en todo el territorio nacional y la matriculación en el Colegio de Auditores o Contadores Públicos de Bolivia.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5.4.6</w:t>
        <w:tab/>
      </w:r>
      <w:r>
        <w:rPr>
          <w:rFonts w:ascii="Century Gothic" w:hAnsi="Century Gothic" w:cs="Century Gothic" w:eastAsia="Century Gothic"/>
          <w:b/>
          <w:i w:val="0"/>
          <w:sz w:val="22"/>
        </w:rPr>
        <w:t>Correspondencia entre problemas y medidas</w:t>
      </w:r>
    </w:p>
    <w:p>
      <w:pPr>
        <w:keepNext/>
        <w:spacing w:before="40" w:after="80" w:line="240" w:lineRule="auto"/>
        <w:jc w:val="center"/>
      </w:pPr>
      <w:r>
        <w:rPr>
          <w:rFonts w:ascii="Century Gothic" w:hAnsi="Century Gothic" w:cs="Century Gothic" w:eastAsia="Century Gothic"/>
          <w:b/>
          <w:i w:val="0"/>
          <w:sz w:val="20"/>
        </w:rPr>
        <w:t>Cuadro 7. Problemas identificados y medidas del nuevo plan</w:t>
      </w:r>
    </w:p>
    <w:tbl>
      <w:tblPr>
        <w:tblW w:type="auto" w:w="0"/>
        <w:jc w:val="center"/>
        <w:tblLayout w:type="fixed"/>
        <w:tblLook w:firstColumn="1" w:firstRow="1" w:lastColumn="0" w:lastRow="0" w:noHBand="0" w:noVBand="1" w:val="04A0"/>
      </w:tblPr>
      <w:tblGrid>
        <w:gridCol w:w="1361"/>
        <w:gridCol w:w="3175"/>
        <w:gridCol w:w="3628"/>
        <w:gridCol w:w="907"/>
      </w:tblGrid>
      <w:tr>
        <w:trPr>
          <w:tblHeader/>
        </w:trPr>
        <w:tc>
          <w:tcPr>
            <w:tcW w:type="dxa" w:w="13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Proceso</w:t>
            </w:r>
          </w:p>
        </w:tc>
        <w:tc>
          <w:tcPr>
            <w:tcW w:type="dxa" w:w="317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Problema identificado</w:t>
            </w:r>
          </w:p>
        </w:tc>
        <w:tc>
          <w:tcPr>
            <w:tcW w:type="dxa" w:w="362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Medida del rediseño</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Punto</w:t>
            </w:r>
          </w:p>
        </w:tc>
      </w:tr>
      <w:tr>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Admisión</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Evaluación de ingreso limitada</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Diversificación de la evaluación de ingreso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5.2.2</w:t>
            </w:r>
          </w:p>
        </w:tc>
      </w:tr>
      <w:tr>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Admisión</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Brecha entre las competencias del bachiller y las exigencias de la Carrera</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Nivelación temprana a partir de la evaluación diagnóstica de cada asignatura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5.2.2</w:t>
            </w:r>
          </w:p>
        </w:tc>
      </w:tr>
      <w:tr>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Promoción</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Oferta rígida y requisito de nota previa en temporada</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Recuperación con tutoría obligatoria y modalidad híbrida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5.3.3</w:t>
            </w:r>
          </w:p>
        </w:tc>
      </w:tr>
      <w:tr>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Promoción</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Seguimiento reactivo y falta de tutoría</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Alerta temprana y tutoría entre pares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5.3.5</w:t>
            </w:r>
          </w:p>
        </w:tc>
      </w:tr>
      <w:tr>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Promoción</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Falta de apoyo previo a las mesas de examen</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Seminarios de resolución de casos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5.3.4</w:t>
            </w:r>
          </w:p>
        </w:tc>
      </w:tr>
      <w:tr>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Promoción</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Falta de solucionarios y rúbricas publicados</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Publicación obligatoria en 48 horas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5.3.5</w:t>
            </w:r>
          </w:p>
        </w:tc>
      </w:tr>
      <w:tr>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Graduación</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Trámites con ejemplares impresos</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Repositorio y trámite digital</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5.4.4</w:t>
            </w:r>
          </w:p>
        </w:tc>
      </w:tr>
      <w:tr>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Graduación</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Inhabilitación definitiva en el examen de grado</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Rehabilitación por diplomado o créditos y talleres de repaso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5.4.2</w:t>
            </w:r>
          </w:p>
        </w:tc>
      </w:tr>
      <w:tr>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Graduación</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Concentración en el examen de grado y poca investigación</w:t>
            </w:r>
          </w:p>
        </w:tc>
        <w:tc>
          <w:tcPr>
            <w:tcW w:type="dxa" w:w="362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Diplomado, proyecto de grado y trabajo dirigido articulados con las prácticas y el Instituto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both"/>
            </w:pPr>
            <w:r>
              <w:rPr>
                <w:rFonts w:ascii="Century Gothic" w:hAnsi="Century Gothic" w:cs="Century Gothic" w:eastAsia="Century Gothic"/>
                <w:b w:val="0"/>
                <w:i w:val="0"/>
                <w:sz w:val="20"/>
              </w:rPr>
              <w:t>5.4.2</w:t>
            </w:r>
          </w:p>
        </w:tc>
      </w:tr>
    </w:tbl>
    <w:p>
      <w:pPr>
        <w:spacing w:before="0" w:after="120" w:line="240" w:lineRule="auto"/>
        <w:jc w:val="left"/>
      </w:pP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0"/>
    <w:lvlOverride w:ilvl="0">
      <w:startOverride w:val="1"/>
    </w:lvlOverride>
  </w:num>
  <w:num w:numId="902">
    <w:abstractNumId w:val="900"/>
    <w:lvlOverride w:ilvl="0">
      <w:startOverride w:val="1"/>
    </w:lvlOverride>
  </w:num>
  <w:num w:numId="903">
    <w:abstractNumId w:val="900"/>
    <w:lvlOverride w:ilvl="0">
      <w:startOverride w:val="1"/>
    </w:lvlOverride>
  </w:num>
  <w:num w:numId="904">
    <w:abstractNumId w:val="900"/>
    <w:lvlOverride w:ilvl="0">
      <w:startOverride w:val="1"/>
    </w:lvlOverride>
  </w:num>
  <w:num w:numId="905">
    <w:abstractNumId w:val="900"/>
    <w:lvlOverride w:ilvl="0">
      <w:startOverride w:val="1"/>
    </w:lvlOverride>
  </w:num>
  <w:num w:numId="906">
    <w:abstractNumId w:val="90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