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i w:val="0"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i w:val="0"/>
          <w:sz w:val="28"/>
        </w:rPr>
        <w:t>Interacción Social y Extensión Universitaria</w:t>
      </w:r>
    </w:p>
    <w:p>
      <w:pPr>
        <w:keepNext/>
        <w:tabs>
          <w:tab w:pos="709" w:val="left"/>
        </w:tabs>
        <w:spacing w:before="16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4"/>
        </w:rPr>
        <w:t>7.</w:t>
        <w:tab/>
      </w:r>
      <w:r>
        <w:rPr>
          <w:rFonts w:ascii="Century Gothic" w:hAnsi="Century Gothic" w:cs="Century Gothic" w:eastAsia="Century Gothic"/>
          <w:b/>
          <w:i w:val="0"/>
          <w:sz w:val="24"/>
        </w:rPr>
        <w:t>Interacción social y extensión universitaria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  <w:highlight w:val="green"/>
        </w:rPr>
        <w:t>En el Sistema de la Universidad Boliviana, la denominación de interacción social fue adoptada en el Primer Congreso de 1988 en reemplazo de la de extensión social, y el XII Congreso Nacional de Universidades aprobó mediante la Resolución N.º 088/2014 la reglamentación de Interacción Social y Extensión.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Como parte de las actividades de los itinerarios formativos se incluyen actividades de interacción universitaria como las ferias educativas en la ciudad de La Paz y en las áreas rurales donde se tienen programas académicos desconcentrados, en las citadas ferias se realiza la socialización de los contenidos programáticos que son de interés público.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Asimismo, la carrera desarrolla programas académicos desconcentrados, en los cuales participan docentes que prestan sus servicios en estas unidades desconcentradas, lo cual forma parte de la interacción social al contribuir a la formación de profesionales en las áreas rurales así como al desarrollo local.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En la UMSA, el Departamento de Investigación, Postgrado e Interacción Social coordina estas funciones. </w:t>
      </w:r>
      <w:r>
        <w:rPr>
          <w:rFonts w:ascii="Century Gothic" w:hAnsi="Century Gothic" w:cs="Century Gothic" w:eastAsia="Century Gothic"/>
          <w:b w:val="0"/>
          <w:i w:val="0"/>
          <w:sz w:val="20"/>
          <w:highlight w:val="green"/>
        </w:rPr>
        <w:t>Sus lineamientos plantean integrar la investigación y la innovación con la interacción social para incidir en el desarrollo y en las políticas públicas, y transferir los resultados de la investigación al Estado y a la sociedad.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El Eje de Interacción Social promueve la vinculación de la comunidad universitaria con el entorno socioeconómico, garantizando el ejercicio profesional orientado al interés público y la transparencia. El plan de acción en esta área comprende los siguientes programas:</w:t>
      </w:r>
    </w:p>
    <w:p>
      <w:pPr>
        <w:numPr>
          <w:ilvl w:val="0"/>
          <w:numId w:val="901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Institucionalización del Código de Ética del IESBA: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adopción obligatoria del Código Internacional de Ética Profesional del IESBA en la actividad académica, de investigación e interacción social, garantizando los principios de integridad, objetividad e independencia.</w:t>
      </w:r>
    </w:p>
    <w:p>
      <w:pPr>
        <w:numPr>
          <w:ilvl w:val="0"/>
          <w:numId w:val="901"/>
        </w:num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Programa de Pasantías Preprofesionales Obligatorias: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suscripción e implementación de convenios institucionales con las principales firmas de auditoría (Big Four), el Servicio de Impuestos Nacionales (SIN), la Contraloría General del Estado (CGE) y empresas del sector productivo para la práctica guiada de los estudiantes a partir del tercer año.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Finalmente se pretende la creación de la Consultoría Social Contable: Establecimiento de gabinetes de apoyo técnico gratuito integrados por docentes y estudiantes para brindar asesoría en gestión contable, cumplimiento tributario y educación financiera a Pequeñas y Medianas Empresas (PYMES), asociaciones comunitarias y emprendimientos vulnerables.</w:t>
      </w:r>
    </w:p>
    <w:p>
      <w:pPr>
        <w:keepNext/>
        <w:tabs>
          <w:tab w:pos="709" w:val="left"/>
        </w:tabs>
        <w:spacing w:before="12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4"/>
        </w:rPr>
        <w:t>7.1</w:t>
        <w:tab/>
      </w:r>
      <w:r>
        <w:rPr>
          <w:rFonts w:ascii="Century Gothic" w:hAnsi="Century Gothic" w:cs="Century Gothic" w:eastAsia="Century Gothic"/>
          <w:b/>
          <w:i w:val="0"/>
          <w:sz w:val="24"/>
        </w:rPr>
        <w:t>Políticas y líneas de interacción social</w:t>
      </w:r>
    </w:p>
    <w:p>
      <w:pPr>
        <w:keepNext/>
        <w:tabs>
          <w:tab w:pos="709" w:val="left"/>
        </w:tabs>
        <w:spacing w:before="8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2"/>
        </w:rPr>
        <w:t>7.1.1</w:t>
        <w:tab/>
      </w:r>
      <w:r>
        <w:rPr>
          <w:rFonts w:ascii="Century Gothic" w:hAnsi="Century Gothic" w:cs="Century Gothic" w:eastAsia="Century Gothic"/>
          <w:b/>
          <w:i w:val="0"/>
          <w:sz w:val="22"/>
        </w:rPr>
        <w:t>Políticas</w:t>
      </w:r>
    </w:p>
    <w:p>
      <w:pPr>
        <w:numPr>
          <w:ilvl w:val="0"/>
          <w:numId w:val="902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Interés público y ética profesional.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Las actividades de interacción social se desarrollan bajo los principios del Código Internacional de Ética del IESBA y orientadas al interés público, la transparencia y la responsabilidad social.</w:t>
      </w:r>
    </w:p>
    <w:p>
      <w:pPr>
        <w:numPr>
          <w:ilvl w:val="0"/>
          <w:numId w:val="902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Integración con la formación.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La interacción social forma parte del proceso formativo: se vincula con las competencias de las asignaturas, con las prácticas preprofesionales del punto 4.8 y con las modalidades de graduación.</w:t>
      </w:r>
    </w:p>
    <w:p>
      <w:pPr>
        <w:numPr>
          <w:ilvl w:val="0"/>
          <w:numId w:val="902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Integración con la investigación.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Los resultados del Instituto de Investigaciones se transfieren a la sociedad y a las entidades públicas mediante documentos de política pública, publicaciones y asistencia técnica.</w:t>
      </w:r>
    </w:p>
    <w:p>
      <w:pPr>
        <w:numPr>
          <w:ilvl w:val="0"/>
          <w:numId w:val="902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Atención prioritaria a sectores vulnerables.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Se prioriza el apoyo a la micro y pequeña empresa, las organizaciones comunitarias y los emprendimientos, en una economía con 84,2 % de informalidad laboral.</w:t>
      </w:r>
    </w:p>
    <w:p>
      <w:pPr>
        <w:numPr>
          <w:ilvl w:val="0"/>
          <w:numId w:val="902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Alianzas institucionales.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La Carrera suscribe convenios con entidades públicas, firmas de auditoría, empresas, gobiernos subnacionales, el Colegio de Auditores o Contadores Públicos y organizaciones sociales.</w:t>
      </w:r>
    </w:p>
    <w:p>
      <w:pPr>
        <w:numPr>
          <w:ilvl w:val="0"/>
          <w:numId w:val="902"/>
        </w:num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Participación obligatoria y demostrable.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Todo estudiante participa en actividades de interacción social durante su formación, con registro y acreditación de las horas cumplidas.</w:t>
      </w:r>
    </w:p>
    <w:p>
      <w:pPr>
        <w:keepNext/>
        <w:tabs>
          <w:tab w:pos="709" w:val="left"/>
        </w:tabs>
        <w:spacing w:before="8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2"/>
        </w:rPr>
        <w:t>7.1.2</w:t>
        <w:tab/>
      </w:r>
      <w:r>
        <w:rPr>
          <w:rFonts w:ascii="Century Gothic" w:hAnsi="Century Gothic" w:cs="Century Gothic" w:eastAsia="Century Gothic"/>
          <w:b/>
          <w:i w:val="0"/>
          <w:sz w:val="22"/>
        </w:rPr>
        <w:t>Líneas de interacción social</w:t>
      </w:r>
    </w:p>
    <w:p>
      <w:pPr>
        <w:keepNext/>
        <w:spacing w:before="40" w:after="80" w:line="240" w:lineRule="auto"/>
        <w:jc w:val="center"/>
      </w:pPr>
      <w:r>
        <w:rPr>
          <w:rFonts w:ascii="Century Gothic" w:hAnsi="Century Gothic" w:cs="Century Gothic" w:eastAsia="Century Gothic"/>
          <w:b/>
          <w:i w:val="0"/>
          <w:sz w:val="20"/>
        </w:rPr>
        <w:t>Cuadro 1. Líneas de interacción social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4252"/>
        <w:gridCol w:w="2551"/>
      </w:tblGrid>
      <w:tr>
        <w:trPr>
          <w:tblHeader/>
        </w:trPr>
        <w:tc>
          <w:tcPr>
            <w:tcW w:type="dxa" w:w="226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20"/>
              </w:rPr>
              <w:t>Línea</w:t>
            </w:r>
          </w:p>
        </w:tc>
        <w:tc>
          <w:tcPr>
            <w:tcW w:type="dxa" w:w="425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20"/>
              </w:rPr>
              <w:t>Actividades</w:t>
            </w:r>
          </w:p>
        </w:tc>
        <w:tc>
          <w:tcPr>
            <w:tcW w:type="dxa" w:w="255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20"/>
              </w:rPr>
              <w:t>Destinatarios</w:t>
            </w:r>
          </w:p>
        </w:tc>
      </w:tr>
      <w:tr>
        <w:tc>
          <w:tcPr>
            <w:tcW w:type="dxa" w:w="226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Consultoría social contable</w:t>
            </w:r>
          </w:p>
        </w:tc>
        <w:tc>
          <w:tcPr>
            <w:tcW w:type="dxa" w:w="425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Gabinetes de docentes y estudiantes que brindan asesoría gratuita en contabilidad, cumplimiento tributario, formalización y gestión</w:t>
            </w:r>
          </w:p>
        </w:tc>
        <w:tc>
          <w:tcPr>
            <w:tcW w:type="dxa" w:w="255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Micro y pequeñas empresas, asociaciones comunitarias, cooperativas y emprendimientos</w:t>
            </w:r>
          </w:p>
        </w:tc>
      </w:tr>
      <w:tr>
        <w:tc>
          <w:tcPr>
            <w:tcW w:type="dxa" w:w="226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Educación financiera y tributaria</w:t>
            </w:r>
          </w:p>
        </w:tc>
        <w:tc>
          <w:tcPr>
            <w:tcW w:type="dxa" w:w="425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Ferias, talleres y campañas de educación financiera, cultura tributaria y uso de la facturación electrónica</w:t>
            </w:r>
          </w:p>
        </w:tc>
        <w:tc>
          <w:tcPr>
            <w:tcW w:type="dxa" w:w="255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Estudiantes de secundaria, comerciantes, organizaciones sociales y población en general</w:t>
            </w:r>
          </w:p>
        </w:tc>
      </w:tr>
      <w:tr>
        <w:tc>
          <w:tcPr>
            <w:tcW w:type="dxa" w:w="226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Transparencia y control social</w:t>
            </w:r>
          </w:p>
        </w:tc>
        <w:tc>
          <w:tcPr>
            <w:tcW w:type="dxa" w:w="425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Apoyo técnico a la rendición de cuentas y al control social de la gestión pública, y promoción de la ética y la prevención de la corrupción</w:t>
            </w:r>
          </w:p>
        </w:tc>
        <w:tc>
          <w:tcPr>
            <w:tcW w:type="dxa" w:w="255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Gobiernos municipales, organizaciones de control social y entidades públicas</w:t>
            </w:r>
          </w:p>
        </w:tc>
      </w:tr>
      <w:tr>
        <w:tc>
          <w:tcPr>
            <w:tcW w:type="dxa" w:w="226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Transferencia de conocimiento</w:t>
            </w:r>
          </w:p>
        </w:tc>
        <w:tc>
          <w:tcPr>
            <w:tcW w:type="dxa" w:w="425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Documentos de política pública, estudios y propuestas técnicas basados en las líneas de investigación del punto 6.2</w:t>
            </w:r>
          </w:p>
        </w:tc>
        <w:tc>
          <w:tcPr>
            <w:tcW w:type="dxa" w:w="255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Servicio de Impuestos Nacionales, Contraloría General del Estado, Colegio de Auditores o Contadores Públicos de Bolivia y entes reguladores</w:t>
            </w:r>
          </w:p>
        </w:tc>
      </w:tr>
      <w:tr>
        <w:tc>
          <w:tcPr>
            <w:tcW w:type="dxa" w:w="226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Vinculación con el medio profesional</w:t>
            </w:r>
          </w:p>
        </w:tc>
        <w:tc>
          <w:tcPr>
            <w:tcW w:type="dxa" w:w="425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Pasantías, prácticas preprofesionales, trabajos dirigidos y proyectos integradores con organizaciones reales</w:t>
            </w:r>
          </w:p>
        </w:tc>
        <w:tc>
          <w:tcPr>
            <w:tcW w:type="dxa" w:w="255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Entidades públicas, firmas de auditoría y empresas con convenio</w:t>
            </w:r>
          </w:p>
        </w:tc>
      </w:tr>
    </w:tbl>
    <w:p>
      <w:pPr>
        <w:spacing w:before="0" w:after="120" w:line="240" w:lineRule="auto"/>
        <w:jc w:val="left"/>
      </w:pPr>
    </w:p>
    <w:p>
      <w:pPr>
        <w:keepNext/>
        <w:tabs>
          <w:tab w:pos="709" w:val="left"/>
        </w:tabs>
        <w:spacing w:before="8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2"/>
        </w:rPr>
        <w:t>7.1.3</w:t>
        <w:tab/>
      </w:r>
      <w:r>
        <w:rPr>
          <w:rFonts w:ascii="Century Gothic" w:hAnsi="Century Gothic" w:cs="Century Gothic" w:eastAsia="Century Gothic"/>
          <w:b/>
          <w:i w:val="0"/>
          <w:sz w:val="22"/>
        </w:rPr>
        <w:t>Participación estudiantil y acreditación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Cada estudiante debe acreditar horas de interacción social durante la licenciatura, principalmente en el ciclo profesional y en el de integración, mediante su participación en la consultoría social contable, las campañas de educación financiera y tributaria o los proyectos de interacción social vinculados a las asignaturas. Las horas se registran con evidencias, como informes, listas de participación y constancias de las entidades beneficiarias, y se computan como horas no presenciales de las asignaturas vinculadas. La carga horaria mínima y el procedimiento de acreditación se fijarán en el Reglamento de Interacción Social de la Carrera, en concordancia con la normativa de la UMSA.</w:t>
      </w:r>
    </w:p>
    <w:p>
      <w:pPr>
        <w:keepNext/>
        <w:tabs>
          <w:tab w:pos="709" w:val="left"/>
        </w:tabs>
        <w:spacing w:before="12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4"/>
        </w:rPr>
        <w:t>7.2</w:t>
        <w:tab/>
      </w:r>
      <w:r>
        <w:rPr>
          <w:rFonts w:ascii="Century Gothic" w:hAnsi="Century Gothic" w:cs="Century Gothic" w:eastAsia="Century Gothic"/>
          <w:b/>
          <w:i w:val="0"/>
          <w:sz w:val="24"/>
        </w:rPr>
        <w:t>Políticas y líneas de extensión universitaria</w:t>
      </w:r>
    </w:p>
    <w:p>
      <w:pPr>
        <w:keepNext/>
        <w:tabs>
          <w:tab w:pos="709" w:val="left"/>
        </w:tabs>
        <w:spacing w:before="8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2"/>
        </w:rPr>
        <w:t>7.2.1</w:t>
        <w:tab/>
      </w:r>
      <w:r>
        <w:rPr>
          <w:rFonts w:ascii="Century Gothic" w:hAnsi="Century Gothic" w:cs="Century Gothic" w:eastAsia="Century Gothic"/>
          <w:b/>
          <w:i w:val="0"/>
          <w:sz w:val="22"/>
        </w:rPr>
        <w:t>Políticas</w:t>
      </w:r>
    </w:p>
    <w:p>
      <w:pPr>
        <w:numPr>
          <w:ilvl w:val="0"/>
          <w:numId w:val="903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Educación continua.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La Carrera ofrece programas de actualización y especialización para sus graduados y para profesionales en ejercicio, en coherencia con la IES 7 de la IFAC sobre desarrollo profesional continuo.</w:t>
      </w:r>
    </w:p>
    <w:p>
      <w:pPr>
        <w:numPr>
          <w:ilvl w:val="0"/>
          <w:numId w:val="903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Articulación con el postgrado.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La oferta de extensión se articula con la Unidad de Postgrado y con la modalidad de graduación mediante diplomado del punto 5.4.2.</w:t>
      </w:r>
    </w:p>
    <w:p>
      <w:pPr>
        <w:numPr>
          <w:ilvl w:val="0"/>
          <w:numId w:val="903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Difusión del conocimiento.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La Carrera difunde la producción académica y normativa de la profesión mediante eventos, publicaciones y medios digitales.</w:t>
      </w:r>
    </w:p>
    <w:p>
      <w:pPr>
        <w:numPr>
          <w:ilvl w:val="0"/>
          <w:numId w:val="903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Formación integral.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Se promueven actividades culturales, deportivas y de convivencia universitaria que fortalecen el saber ser y convivir.</w:t>
      </w:r>
    </w:p>
    <w:p>
      <w:pPr>
        <w:numPr>
          <w:ilvl w:val="0"/>
          <w:numId w:val="903"/>
        </w:num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Uso de la tecnología.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La extensión aprovecha la plataforma virtual de la Carrera y los entornos virtuales de la Universidad para ampliar su alcance.</w:t>
      </w:r>
    </w:p>
    <w:p>
      <w:pPr>
        <w:keepNext/>
        <w:tabs>
          <w:tab w:pos="709" w:val="left"/>
        </w:tabs>
        <w:spacing w:before="8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2"/>
        </w:rPr>
        <w:t>7.2.2</w:t>
        <w:tab/>
      </w:r>
      <w:r>
        <w:rPr>
          <w:rFonts w:ascii="Century Gothic" w:hAnsi="Century Gothic" w:cs="Century Gothic" w:eastAsia="Century Gothic"/>
          <w:b/>
          <w:i w:val="0"/>
          <w:sz w:val="22"/>
        </w:rPr>
        <w:t>Líneas de extensión universitaria</w:t>
      </w:r>
    </w:p>
    <w:p>
      <w:pPr>
        <w:keepNext/>
        <w:spacing w:before="40" w:after="80" w:line="240" w:lineRule="auto"/>
        <w:jc w:val="center"/>
      </w:pPr>
      <w:r>
        <w:rPr>
          <w:rFonts w:ascii="Century Gothic" w:hAnsi="Century Gothic" w:cs="Century Gothic" w:eastAsia="Century Gothic"/>
          <w:b/>
          <w:i w:val="0"/>
          <w:sz w:val="20"/>
        </w:rPr>
        <w:t>Cuadro 2. Líneas de extensión universitaria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520"/>
      </w:tblGrid>
      <w:tr>
        <w:trPr>
          <w:tblHeader/>
        </w:trPr>
        <w:tc>
          <w:tcPr>
            <w:tcW w:type="dxa" w:w="255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20"/>
              </w:rPr>
              <w:t>Línea</w:t>
            </w:r>
          </w:p>
        </w:tc>
        <w:tc>
          <w:tcPr>
            <w:tcW w:type="dxa" w:w="652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20"/>
              </w:rPr>
              <w:t>Actividades</w:t>
            </w:r>
          </w:p>
        </w:tc>
      </w:tr>
      <w:tr>
        <w:tc>
          <w:tcPr>
            <w:tcW w:type="dxa" w:w="255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Educación continua y actualización profesional</w:t>
            </w:r>
          </w:p>
        </w:tc>
        <w:tc>
          <w:tcPr>
            <w:tcW w:type="dxa" w:w="652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Cursos de actualización normativa sobre NIIF, NIIF de Sostenibilidad, NIA, NIAS 5000, Código del IESBA y legislación tributaria; cursos de herramientas tecnológicas, análisis de datos e inteligencia artificial; y el Curso de Actualización en Metodología de la Investigación</w:t>
            </w:r>
          </w:p>
        </w:tc>
      </w:tr>
      <w:tr>
        <w:tc>
          <w:tcPr>
            <w:tcW w:type="dxa" w:w="255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Postgrado</w:t>
            </w:r>
          </w:p>
        </w:tc>
        <w:tc>
          <w:tcPr>
            <w:tcW w:type="dxa" w:w="652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Maestrías en Auditoría y Control Financiero, Auditoría Gubernamental y Control de Gestión, Tributación y Contabilidad Gerencial; diplomados en Tributación, Auditoría Forense, Control Interno, Contabilidad Minera, Gerencia Contable Bancaria y Auditoría en Banca y Finanzas; y el Programa de Doctorado en Ciencias Contables, Auditoría y Gestión Financiera</w:t>
            </w:r>
          </w:p>
        </w:tc>
      </w:tr>
      <w:tr>
        <w:tc>
          <w:tcPr>
            <w:tcW w:type="dxa" w:w="255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Difusión académica</w:t>
            </w:r>
          </w:p>
        </w:tc>
        <w:tc>
          <w:tcPr>
            <w:tcW w:type="dxa" w:w="652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Seminarios, congresos, jornadas de actualización, ferias de investigación y publicaciones del Instituto de Investigaciones</w:t>
            </w:r>
          </w:p>
        </w:tc>
      </w:tr>
      <w:tr>
        <w:tc>
          <w:tcPr>
            <w:tcW w:type="dxa" w:w="255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Formación virtual</w:t>
            </w:r>
          </w:p>
        </w:tc>
        <w:tc>
          <w:tcPr>
            <w:tcW w:type="dxa" w:w="652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Cursos en línea en la plataforma virtual de la Carrera y los que oferte la UMSA, para estudiantes, docentes y graduados</w:t>
            </w:r>
          </w:p>
        </w:tc>
      </w:tr>
      <w:tr>
        <w:tc>
          <w:tcPr>
            <w:tcW w:type="dxa" w:w="255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Cultura, deporte y convivencia</w:t>
            </w:r>
          </w:p>
        </w:tc>
        <w:tc>
          <w:tcPr>
            <w:tcW w:type="dxa" w:w="652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both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Actividades culturales, deportivas y de integración de la comunidad universitaria</w:t>
            </w:r>
          </w:p>
        </w:tc>
      </w:tr>
    </w:tbl>
    <w:p>
      <w:pPr>
        <w:spacing w:before="0" w:after="120" w:line="240" w:lineRule="auto"/>
        <w:jc w:val="left"/>
      </w:pP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Las actividades de extensión son coordinadas por la Dirección de Carrera, la Unidad de Postgrado y el Instituto de Investigaciones, y se programan anualmente.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0">
    <w:multiLevelType w:val="hybridMultilevel"/>
    <w:lvl w:ilvl="0">
      <w:start w:val="1"/>
      <w:numFmt w:val="bullet"/>
      <w:lvlText w:val=""/>
      <w:lvlJc w:val="left"/>
      <w:pPr>
        <w:ind w:left="357" w:hanging="357"/>
      </w:pPr>
      <w:rPr>
        <w:rFonts w:ascii="Wingdings" w:hAnsi="Wingdings" w:cs="Wingdings" w:hint="default"/>
        <w:sz w:val="20"/>
      </w:rPr>
    </w:lvl>
    <w:lvl w:ilvl="1">
      <w:start w:val="1"/>
      <w:numFmt w:val="bullet"/>
      <w:lvlText w:val="–"/>
      <w:lvlJc w:val="left"/>
      <w:pPr>
        <w:ind w:left="720" w:hanging="283"/>
      </w:pPr>
      <w:rPr>
        <w:rFonts w:ascii="Century Gothic" w:hAnsi="Century Gothic" w:cs="Century Gothic" w:hint="default"/>
        <w:sz w:val="20"/>
      </w:rPr>
    </w:lvl>
    <w:lvl w:ilvl="2">
      <w:start w:val="1"/>
      <w:numFmt w:val="bullet"/>
      <w:lvlText w:val="·"/>
      <w:lvlJc w:val="left"/>
      <w:pPr>
        <w:ind w:left="1077" w:hanging="283"/>
      </w:pPr>
      <w:rPr>
        <w:rFonts w:ascii="Symbol" w:hAnsi="Symbol" w:cs="Symbol" w:hint="default"/>
        <w:sz w:val="20"/>
      </w:rPr>
    </w:lvl>
  </w:abstractNum>
  <w:abstractNum w:abstractNumId="901">
    <w:multiLevelType w:val="hybridMultilevel"/>
    <w:lvl w:ilvl="0">
      <w:start w:val="1"/>
      <w:numFmt w:val="lowerLetter"/>
      <w:lvlText w:val="%1."/>
      <w:lvlJc w:val="left"/>
      <w:pPr>
        <w:ind w:left="357" w:hanging="357"/>
      </w:pPr>
      <w:rPr>
        <w:rFonts w:ascii="Century Gothic" w:hAnsi="Century Gothic" w:cs="Century Gothic" w:hint="default"/>
        <w:b/>
        <w:sz w:val="20"/>
      </w:rPr>
    </w:lvl>
    <w:lvl w:ilvl="1">
      <w:start w:val="1"/>
      <w:numFmt w:val="bullet"/>
      <w:lvlText w:val=""/>
      <w:lvlJc w:val="left"/>
      <w:pPr>
        <w:ind w:left="720" w:hanging="357"/>
      </w:pPr>
      <w:rPr>
        <w:rFonts w:ascii="Wingdings" w:hAnsi="Wingdings" w:cs="Wingdings" w:hint="default"/>
        <w:sz w:val="20"/>
      </w:rPr>
    </w:lvl>
    <w:lvl w:ilvl="2">
      <w:start w:val="1"/>
      <w:numFmt w:val="bullet"/>
      <w:lvlText w:val="–"/>
      <w:lvlJc w:val="left"/>
      <w:pPr>
        <w:ind w:left="1077" w:hanging="283"/>
      </w:pPr>
      <w:rPr>
        <w:rFonts w:ascii="Century Gothic" w:hAnsi="Century Gothic" w:cs="Century Gothic" w:hint="default"/>
        <w:sz w:val="20"/>
      </w:rPr>
    </w:lvl>
  </w:abstractNum>
  <w:abstractNum w:abstractNumId="902">
    <w:multiLevelType w:val="hybridMultilevel"/>
    <w:lvl w:ilvl="0">
      <w:start w:val="1"/>
      <w:numFmt w:val="decimal"/>
      <w:lvlText w:val="%1."/>
      <w:lvlJc w:val="left"/>
      <w:pPr>
        <w:ind w:left="357" w:hanging="357"/>
      </w:pPr>
      <w:rPr>
        <w:rFonts w:ascii="Century Gothic" w:hAnsi="Century Gothic" w:cs="Century Gothic" w:hint="default"/>
        <w:b/>
        <w:sz w:val="20"/>
      </w:rPr>
    </w:lvl>
    <w:lvl w:ilvl="1">
      <w:start w:val="1"/>
      <w:numFmt w:val="lowerLetter"/>
      <w:lvlText w:val="%2."/>
      <w:lvlJc w:val="left"/>
      <w:pPr>
        <w:ind w:left="720" w:hanging="357"/>
      </w:pPr>
      <w:rPr>
        <w:rFonts w:ascii="Century Gothic" w:hAnsi="Century Gothic" w:cs="Century Gothic" w:hint="default"/>
        <w:b/>
        <w:sz w:val="20"/>
      </w:rPr>
    </w:lvl>
    <w:lvl w:ilvl="2">
      <w:start w:val="1"/>
      <w:numFmt w:val="bullet"/>
      <w:lvlText w:val=""/>
      <w:lvlJc w:val="left"/>
      <w:pPr>
        <w:ind w:left="1077" w:hanging="283"/>
      </w:pPr>
      <w:rPr>
        <w:rFonts w:ascii="Wingdings" w:hAnsi="Wingdings" w:cs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1">
    <w:abstractNumId w:val="900"/>
    <w:lvlOverride w:ilvl="0">
      <w:startOverride w:val="1"/>
    </w:lvlOverride>
  </w:num>
  <w:num w:numId="902">
    <w:abstractNumId w:val="902"/>
    <w:lvlOverride w:ilvl="0">
      <w:startOverride w:val="1"/>
    </w:lvlOverride>
  </w:num>
  <w:num w:numId="903">
    <w:abstractNumId w:val="90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entury Gothic" w:hAnsi="Century Gothic" w:cs="Century Gothic" w:eastAsia="Century Gothic"/>
      <w:sz w:val="20"/>
      <w:lang w:val="es-BO" w:eastAsia="es-B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