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line="240" w:lineRule="auto"/>
        <w:jc w:val="center"/>
      </w:pPr>
      <w:r>
        <w:rPr>
          <w:rFonts w:ascii="Century Gothic" w:hAnsi="Century Gothic" w:cs="Century Gothic" w:eastAsia="Century Gothic"/>
          <w:b/>
          <w:sz w:val="28"/>
        </w:rPr>
        <w:t>Diseño Curricular</w:t>
      </w:r>
    </w:p>
    <w:p>
      <w:pPr>
        <w:spacing w:before="0" w:after="360" w:line="240" w:lineRule="auto"/>
        <w:jc w:val="center"/>
      </w:pPr>
      <w:r>
        <w:rPr>
          <w:rFonts w:ascii="Century Gothic" w:hAnsi="Century Gothic" w:cs="Century Gothic" w:eastAsia="Century Gothic"/>
          <w:b/>
          <w:sz w:val="28"/>
        </w:rPr>
        <w:t>Aspectos Académicos</w:t>
      </w:r>
    </w:p>
    <w:p w14:paraId="2C688842" w14:textId="77777777" w:rsidR="00EE70B8" w:rsidRDefault="00C15354">
      <w:pPr>
        <w:spacing w:after="60" w:line="240" w:lineRule="auto"/>
        <w:rPr>
          <w:rFonts w:ascii="Century Gothic" w:hAnsi="Century Gothic" w:cs="Century Gothic" w:eastAsia="Century Gothic"/>
          <w:sz w:val="20"/>
          <w:szCs w:val="20"/>
        </w:rPr>
      </w:pPr>
      <w:r>
        <w:rPr>
          <w:rFonts w:ascii="Century Gothic" w:hAnsi="Century Gothic" w:cs="Century Gothic" w:eastAsia="Century Gothic"/>
          <w:i/>
          <w:iCs/>
          <w:sz w:val="20"/>
          <w:szCs w:val="20"/>
        </w:rPr>
        <w:t>Nivel: Licenciatura en Contaduría Pública</w:t>
      </w:r>
    </w:p>
    <w:p w14:paraId="41400AEB" w14:textId="77777777" w:rsidR="00EE70B8" w:rsidRDefault="00C15354">
      <w:pPr>
        <w:spacing w:after="60" w:line="240" w:lineRule="auto"/>
        <w:jc w:val="center"/>
        <w:rPr>
          <w:rFonts w:ascii="Century Gothic" w:hAnsi="Century Gothic" w:cs="Century Gothic" w:eastAsia="Century Gothic"/>
          <w:sz w:val="20"/>
          <w:szCs w:val="20"/>
        </w:rPr>
      </w:pPr>
      <w:r>
        <w:rPr>
          <w:rFonts w:ascii="Century Gothic" w:hAnsi="Century Gothic" w:cs="Century Gothic" w:eastAsia="Century Gothic"/>
          <w:b/>
          <w:bCs/>
          <w:sz w:val="20"/>
          <w:szCs w:val="20"/>
        </w:rPr>
        <w:t>TERCER AÑO</w:t>
      </w:r>
    </w:p>
    <w:tbl>
      <w:tblPr>
        <w:tblW w:w="9405" w:type="dxa"/>
        <w:jc w:val="center"/>
        <w:tblBorders>
          <w:top w:val="single" w:sz="6" w:space="0" w:color="1F3864"/>
          <w:left w:val="single" w:sz="6" w:space="0" w:color="1F3864"/>
          <w:bottom w:val="single" w:sz="6" w:space="0" w:color="1F3864"/>
          <w:right w:val="single" w:sz="6" w:space="0" w:color="1F3864"/>
          <w:insideH w:val="single" w:sz="6" w:space="0" w:color="1F3864"/>
          <w:insideV w:val="single" w:sz="6" w:space="0" w:color="1F3864"/>
        </w:tblBorders>
        <w:tblLayout w:type="fixed"/>
        <w:tblCellMar>
          <w:top w:w="40" w:type="dxa"/>
          <w:left w:w="90" w:type="dxa"/>
          <w:bottom w:w="40" w:type="dxa"/>
          <w:right w:w="90" w:type="dxa"/>
        </w:tblCellMar>
        <w:tblLook w:val="0400" w:firstRow="0" w:lastRow="0" w:firstColumn="0" w:lastColumn="0" w:noHBand="0" w:noVBand="1"/>
      </w:tblPr>
      <w:tblGrid>
        <w:gridCol w:w="1175"/>
        <w:gridCol w:w="391"/>
        <w:gridCol w:w="391"/>
        <w:gridCol w:w="391"/>
        <w:gridCol w:w="783"/>
        <w:gridCol w:w="391"/>
        <w:gridCol w:w="391"/>
        <w:gridCol w:w="783"/>
        <w:gridCol w:w="783"/>
        <w:gridCol w:w="391"/>
        <w:gridCol w:w="391"/>
        <w:gridCol w:w="391"/>
        <w:gridCol w:w="391"/>
        <w:gridCol w:w="398"/>
        <w:gridCol w:w="385"/>
        <w:gridCol w:w="1567"/>
      </w:tblGrid>
      <w:tr w:rsidR="00EE70B8" w14:paraId="1F2AA015"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50EFA306" w14:textId="77777777" w:rsidR="00EE70B8" w:rsidRDefault="00C1535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Asignatura</w:t>
            </w:r>
          </w:p>
        </w:tc>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144E0C3A" w14:textId="77777777" w:rsidR="00EE70B8" w:rsidRDefault="00C1535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Sigla</w:t>
            </w:r>
          </w:p>
        </w:tc>
        <w:tc>
          <w:tcPr>
            <w:tcW w:w="2347"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1137C7E4" w14:textId="77777777" w:rsidR="00EE70B8" w:rsidRDefault="00C1535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Nivel/Área</w:t>
            </w:r>
          </w:p>
        </w:tc>
        <w:tc>
          <w:tcPr>
            <w:tcW w:w="2350"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23FC3FDC" w14:textId="77777777" w:rsidR="00EE70B8" w:rsidRDefault="00C1535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Prerrequisito</w:t>
            </w:r>
          </w:p>
        </w:tc>
      </w:tr>
      <w:tr w:rsidR="00EE70B8" w14:paraId="65EE5F5A"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414C1235" w14:textId="77777777" w:rsidR="00EE70B8" w:rsidRDefault="00C1535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Contabilidad de Bancos y Entidades Financieras</w:t>
            </w:r>
          </w:p>
        </w:tc>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1E634729" w14:textId="77777777" w:rsidR="00EE70B8" w:rsidRDefault="00C1535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CPA-303</w:t>
            </w:r>
          </w:p>
        </w:tc>
        <w:tc>
          <w:tcPr>
            <w:tcW w:w="2347"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61ADA372" w14:textId="77777777" w:rsidR="00EE70B8" w:rsidRDefault="00C1535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Información Financiera</w:t>
            </w:r>
          </w:p>
        </w:tc>
        <w:tc>
          <w:tcPr>
            <w:tcW w:w="2350"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5D64250E" w14:textId="77777777" w:rsidR="00EE70B8" w:rsidRDefault="00C1535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CPA-201, CPA-202, CPA-203</w:t>
            </w:r>
          </w:p>
        </w:tc>
      </w:tr>
      <w:tr w:rsidR="00EE70B8" w14:paraId="410E3ADC" w14:textId="77777777">
        <w:tc>
          <w:tcPr>
            <w:tcW w:w="7043" w:type="dxa"/>
            <w:gridSpan w:val="13"/>
            <w:tcBorders>
              <w:top w:val="single" w:sz="6" w:space="0" w:color="1F3864"/>
              <w:left w:val="single" w:sz="6" w:space="0" w:color="1F3864"/>
              <w:bottom w:val="single" w:sz="6" w:space="0" w:color="1F3864"/>
              <w:right w:val="single" w:sz="6" w:space="0" w:color="1F3864"/>
            </w:tcBorders>
            <w:shd w:val="clear" w:color="auto" w:fill="4472C4"/>
            <w:vAlign w:val="center"/>
          </w:tcPr>
          <w:p w14:paraId="04CCF4AA" w14:textId="77777777" w:rsidR="00EE70B8" w:rsidRDefault="00C1535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Carga Horaria</w:t>
            </w:r>
          </w:p>
        </w:tc>
        <w:tc>
          <w:tcPr>
            <w:tcW w:w="2350"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45D2BFA0" w14:textId="77777777" w:rsidR="00EE70B8" w:rsidRDefault="00C1535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Créditos</w:t>
            </w:r>
          </w:p>
        </w:tc>
      </w:tr>
      <w:tr w:rsidR="00EE70B8" w14:paraId="4E196B40" w14:textId="77777777">
        <w:tc>
          <w:tcPr>
            <w:tcW w:w="1175"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59F4ECAD"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HP</w:t>
            </w:r>
          </w:p>
        </w:tc>
        <w:tc>
          <w:tcPr>
            <w:tcW w:w="11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24289220"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HAA</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437A90F8"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HTG</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50184E8A"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HIP</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4F89D2CF"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HE</w:t>
            </w:r>
          </w:p>
        </w:tc>
        <w:tc>
          <w:tcPr>
            <w:tcW w:w="11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75691E65"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TOTAL</w:t>
            </w:r>
          </w:p>
        </w:tc>
        <w:tc>
          <w:tcPr>
            <w:tcW w:w="2350" w:type="dxa"/>
            <w:gridSpan w:val="3"/>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14:paraId="5CC008AB" w14:textId="77777777" w:rsidR="00EE70B8" w:rsidRDefault="00EE70B8">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8</w:t>
            </w:r>
          </w:p>
        </w:tc>
      </w:tr>
      <w:tr w:rsidR="00EE70B8" w14:paraId="1C311F04" w14:textId="77777777">
        <w:tc>
          <w:tcPr>
            <w:tcW w:w="1175" w:type="dxa"/>
            <w:tcBorders>
              <w:top w:val="single" w:sz="6" w:space="0" w:color="1F3864"/>
              <w:left w:val="single" w:sz="6" w:space="0" w:color="1F3864"/>
              <w:bottom w:val="single" w:sz="6" w:space="0" w:color="1F3864"/>
              <w:right w:val="single" w:sz="6" w:space="0" w:color="1F3864"/>
            </w:tcBorders>
            <w:shd w:val="clear" w:color="auto" w:fill="D9E2F3"/>
            <w:vAlign w:val="center"/>
          </w:tcPr>
          <w:p w14:paraId="40345C01"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160</w:t>
            </w:r>
          </w:p>
        </w:tc>
        <w:tc>
          <w:tcPr>
            <w:tcW w:w="11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33BA5F77" w14:textId="77777777" w:rsidR="00EE70B8" w:rsidRPr="00C15354" w:rsidRDefault="00C15354">
            <w:pPr>
              <w:spacing w:before="20" w:after="20" w:line="240" w:lineRule="auto"/>
              <w:jc w:val="center"/>
              <w:rPr>
                <w:rFonts w:ascii="Century Gothic" w:hAnsi="Century Gothic" w:cs="Century Gothic" w:eastAsia="Century Gothic"/>
                <w:b/>
                <w:color w:val="FFFFFF"/>
                <w:sz w:val="18"/>
                <w:szCs w:val="18"/>
              </w:rPr>
            </w:pPr>
            <w:r>
              <w:rPr>
                <w:rFonts w:ascii="Century Gothic" w:hAnsi="Century Gothic" w:cs="Century Gothic" w:eastAsia="Century Gothic"/>
                <w:b/>
                <w:color w:val="FFFFFF"/>
                <w:sz w:val="18"/>
                <w:szCs w:val="18"/>
              </w:rPr>
              <w:t>16</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0FED2E8D" w14:textId="77777777" w:rsidR="00EE70B8" w:rsidRPr="00C15354" w:rsidRDefault="00C15354">
            <w:pPr>
              <w:spacing w:before="20" w:after="20" w:line="240" w:lineRule="auto"/>
              <w:jc w:val="center"/>
              <w:rPr>
                <w:rFonts w:ascii="Century Gothic" w:hAnsi="Century Gothic" w:cs="Century Gothic" w:eastAsia="Century Gothic"/>
                <w:b/>
                <w:color w:val="FFFFFF"/>
                <w:sz w:val="18"/>
                <w:szCs w:val="18"/>
              </w:rPr>
            </w:pPr>
            <w:r>
              <w:rPr>
                <w:rFonts w:ascii="Century Gothic" w:hAnsi="Century Gothic" w:cs="Century Gothic" w:eastAsia="Century Gothic"/>
                <w:b/>
                <w:color w:val="FFFFFF"/>
                <w:sz w:val="18"/>
                <w:szCs w:val="18"/>
              </w:rPr>
              <w:t>32</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191F944B" w14:textId="77777777" w:rsidR="00EE70B8" w:rsidRPr="00C15354" w:rsidRDefault="00C15354">
            <w:pPr>
              <w:spacing w:before="20" w:after="20" w:line="240" w:lineRule="auto"/>
              <w:jc w:val="center"/>
              <w:rPr>
                <w:rFonts w:ascii="Century Gothic" w:hAnsi="Century Gothic" w:cs="Century Gothic" w:eastAsia="Century Gothic"/>
                <w:b/>
                <w:color w:val="FFFFFF"/>
                <w:sz w:val="18"/>
                <w:szCs w:val="18"/>
              </w:rPr>
            </w:pPr>
            <w:r>
              <w:rPr>
                <w:rFonts w:ascii="Century Gothic" w:hAnsi="Century Gothic" w:cs="Century Gothic" w:eastAsia="Century Gothic"/>
                <w:b/>
                <w:color w:val="FFFFFF"/>
                <w:sz w:val="18"/>
                <w:szCs w:val="18"/>
              </w:rPr>
              <w:t>16</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6B88B625" w14:textId="77777777" w:rsidR="00EE70B8" w:rsidRPr="00C15354" w:rsidRDefault="00C15354">
            <w:pPr>
              <w:spacing w:before="20" w:after="20" w:line="240" w:lineRule="auto"/>
              <w:jc w:val="center"/>
              <w:rPr>
                <w:rFonts w:ascii="Century Gothic" w:hAnsi="Century Gothic" w:cs="Century Gothic" w:eastAsia="Century Gothic"/>
                <w:b/>
                <w:color w:val="FFFFFF"/>
                <w:sz w:val="18"/>
                <w:szCs w:val="18"/>
              </w:rPr>
            </w:pPr>
            <w:r>
              <w:rPr>
                <w:rFonts w:ascii="Century Gothic" w:hAnsi="Century Gothic" w:cs="Century Gothic" w:eastAsia="Century Gothic"/>
                <w:b/>
                <w:color w:val="FFFFFF"/>
                <w:sz w:val="18"/>
                <w:szCs w:val="18"/>
              </w:rPr>
              <w:t>16</w:t>
            </w:r>
          </w:p>
        </w:tc>
        <w:tc>
          <w:tcPr>
            <w:tcW w:w="1173"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76C08C6B"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240</w:t>
            </w:r>
          </w:p>
        </w:tc>
        <w:tc>
          <w:tcPr>
            <w:tcW w:w="2350" w:type="dxa"/>
            <w:gridSpan w:val="3"/>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53D7E320"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r>
      <w:tr w:rsidR="00EE70B8" w14:paraId="6F8AD196" w14:textId="77777777">
        <w:tc>
          <w:tcPr>
            <w:tcW w:w="9393" w:type="dxa"/>
            <w:gridSpan w:val="16"/>
            <w:tcBorders>
              <w:top w:val="single" w:sz="6" w:space="0" w:color="1F3864"/>
              <w:left w:val="single" w:sz="6" w:space="0" w:color="1F3864"/>
              <w:bottom w:val="single" w:sz="6" w:space="0" w:color="1F3864"/>
              <w:right w:val="single" w:sz="6" w:space="0" w:color="1F3864"/>
            </w:tcBorders>
            <w:shd w:val="clear" w:color="auto" w:fill="4472C4"/>
            <w:vAlign w:val="center"/>
          </w:tcPr>
          <w:p w14:paraId="237F8E82" w14:textId="77777777" w:rsidR="00EE70B8" w:rsidRDefault="00C1535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Unidad de Competencia</w:t>
            </w:r>
          </w:p>
        </w:tc>
      </w:tr>
      <w:tr w:rsidR="00EE70B8" w14:paraId="353755BC" w14:textId="77777777">
        <w:tc>
          <w:tcPr>
            <w:tcW w:w="9393" w:type="dxa"/>
            <w:gridSpan w:val="16"/>
            <w:tcBorders>
              <w:top w:val="single" w:sz="6" w:space="0" w:color="1F3864"/>
              <w:left w:val="single" w:sz="6" w:space="0" w:color="1F3864"/>
              <w:bottom w:val="single" w:sz="6" w:space="0" w:color="1F3864"/>
              <w:right w:val="single" w:sz="6" w:space="0" w:color="1F3864"/>
            </w:tcBorders>
            <w:shd w:val="clear" w:color="auto" w:fill="D9E2F3"/>
            <w:vAlign w:val="center"/>
          </w:tcPr>
          <w:p w14:paraId="3B9768D2"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 Registra las transacciones contables de los bancos y las entidades financieras del Sistema Financiero Nacional para la elaboración de estados financieros conforme al Manual de Cuentas de la Autoridad de Supervisión del Sistema Financiero y a las Normas de Contabilidad Generalmente Aceptadas en Bolivia, de las operaciones activas, pasivas, de servicio y financieras que realiza un banco.  </w:t>
            </w:r>
          </w:p>
          <w:p w14:paraId="3A9D078C"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Describe la estructura del sistema financiero y la banca digital con transparencia, rigor técnico, prevención de la legitimación de ganancias ilícitas y apego a la normativa regulatoria y legal vigente en el país.</w:t>
            </w:r>
          </w:p>
        </w:tc>
      </w:tr>
      <w:tr w:rsidR="00EE70B8" w14:paraId="1AEDD3F6" w14:textId="77777777">
        <w:trPr/>
        <w:tc>
          <w:tcPr>
            <w:tcW w:w="9393" w:type="dxa"/>
            <w:gridSpan w:val="16"/>
            <w:tcBorders>
              <w:top w:val="single" w:sz="6" w:space="0" w:color="1F3864"/>
              <w:left w:val="single" w:sz="6" w:space="0" w:color="1F3864"/>
              <w:bottom w:val="single" w:sz="6" w:space="0" w:color="1F3864"/>
              <w:right w:val="single" w:sz="6" w:space="0" w:color="1F3864"/>
            </w:tcBorders>
            <w:shd w:val="clear" w:color="auto" w:fill="D9E2F3"/>
            <w:vAlign w:val="center"/>
          </w:tcPr>
          <w:p w14:paraId="26E0D8E7" w14:textId="77777777" w:rsidR="00EE70B8" w:rsidRDefault="00C15354">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b/>
                <w:bCs/>
                <w:i/>
                <w:iCs/>
                <w:sz w:val="18"/>
                <w:szCs w:val="18"/>
              </w:rPr>
              <w:t xml:space="preserve">Elemento de competencia 1: </w:t>
            </w:r>
            <w:r>
              <w:rPr>
                <w:rFonts w:ascii="Century Gothic" w:hAnsi="Century Gothic" w:cs="Century Gothic" w:eastAsia="Century Gothic"/>
                <w:sz w:val="18"/>
                <w:szCs w:val="18"/>
              </w:rPr>
              <w:t>Describe la estructura del Sistema Financiero Nacional, la clasificación de los bancos y los requisitos de constitución y funcionamiento de las entidades financieras, de acuerdo con la normativa de la Autoridad de Supervisión del Sistema Financiero, y registra las operaciones de disponibilidades y de la cámara de compensación de una entidad financiera, interpretando el saldo de las cuentas y su exposición.</w:t>
            </w:r>
          </w:p>
        </w:tc>
      </w:tr>
      <w:tr w:rsidR="00EE70B8" w14:paraId="4633FC2F" w14:textId="77777777">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30E94721" w14:textId="77777777" w:rsidR="00EE70B8" w:rsidRDefault="00C1535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Criterios de desempeño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4472C4"/>
            <w:vAlign w:val="center"/>
          </w:tcPr>
          <w:p w14:paraId="005A90C3" w14:textId="77777777" w:rsidR="00EE70B8" w:rsidRDefault="00C1535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Evidencias de desempeño</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2D703F2A" w14:textId="77777777" w:rsidR="00EE70B8" w:rsidRDefault="00C1535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Evidencias de producto</w:t>
            </w:r>
          </w:p>
        </w:tc>
      </w:tr>
      <w:tr w:rsidR="00EE70B8" w14:paraId="23075D5F" w14:textId="77777777">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14:paraId="535E7BB4"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1. Describe la estructura del Sistema Financiero Nacional, la normativa y los manuales de la ASFI aplicables, y los requisitos y la forma de constitución de una entidad financiera, exponiendo los rubros en los estados financieros.</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Pr>
          <w:p w14:paraId="6ABC800E"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1.1 Elabora en equipo el esquema del sistema financiero y describe, según la normativa aplicable de la ASFI, la forma de constitución, los requisitos, el capital mínimo y la licencia de funcionamiento de una entidad financiera.</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D9E2F3"/>
          </w:tcPr>
          <w:p w14:paraId="5C8986DB"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b/>
                <w:bCs/>
                <w:sz w:val="18"/>
                <w:szCs w:val="18"/>
              </w:rPr>
              <w:t xml:space="preserve">Producto 1: </w:t>
            </w:r>
            <w:r>
              <w:rPr>
                <w:rFonts w:ascii="Century Gothic" w:hAnsi="Century Gothic" w:cs="Century Gothic" w:eastAsia="Century Gothic"/>
                <w:sz w:val="18"/>
                <w:szCs w:val="18"/>
              </w:rPr>
              <w:t>Esquema del sistema financiero boliviano y de la constitución de una entidad financiera según la normativa aplicable de la ASFI.</w:t>
            </w:r>
          </w:p>
        </w:tc>
      </w:tr>
      <w:tr w:rsidR="00EE70B8" w14:paraId="7D5EAB44" w14:textId="77777777">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6C95C8DF"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Pr>
          <w:p w14:paraId="4947F82A"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1.2 Aplica el Manual de Cuentas y las normas de valuación de la ASFI (grupos, cuentas y subcuentas) y expone en los estados financieros los diferentes rubros en un caso práctico.</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D9E2F3"/>
          </w:tcPr>
          <w:p w14:paraId="6908457D"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b/>
                <w:bCs/>
                <w:sz w:val="18"/>
                <w:szCs w:val="18"/>
              </w:rPr>
              <w:t xml:space="preserve">Producto 2: </w:t>
            </w:r>
            <w:r>
              <w:rPr>
                <w:rFonts w:ascii="Century Gothic" w:hAnsi="Century Gothic" w:cs="Century Gothic" w:eastAsia="Century Gothic"/>
                <w:sz w:val="18"/>
                <w:szCs w:val="18"/>
              </w:rPr>
              <w:t>Exposición en los estados financieros de los diferentes rubros expuestos en los manuales de la ASFI.</w:t>
            </w:r>
          </w:p>
        </w:tc>
      </w:tr>
      <w:tr w:rsidR="00EE70B8" w14:paraId="21DC9090" w14:textId="77777777">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14:paraId="33DD4E42"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2. Registra las operaciones generales y rutinarias de una entidad financiera (disponibilidades y cámara de compensación), interpretando sus saldos, regularizando faltantes y sobrantes de caja y liquidando cheques y pagos electrónicos, y las expone en los estados financieros.</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Pr>
          <w:p w14:paraId="4C100BDF"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2.1 Desarrolla en equipo, en aula, prácticas de disponibilidades y expone sus saldos en los estados financieros.</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D9E2F3"/>
          </w:tcPr>
          <w:p w14:paraId="1EA4584F"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b/>
                <w:bCs/>
                <w:sz w:val="18"/>
                <w:szCs w:val="18"/>
              </w:rPr>
              <w:t xml:space="preserve">Producto 3: </w:t>
            </w:r>
            <w:r>
              <w:rPr>
                <w:rFonts w:ascii="Century Gothic" w:hAnsi="Century Gothic" w:cs="Century Gothic" w:eastAsia="Century Gothic"/>
                <w:sz w:val="18"/>
                <w:szCs w:val="18"/>
              </w:rPr>
              <w:t>Práctica de disponibilidades con su respectiva exposición en los estados financieros.</w:t>
            </w:r>
          </w:p>
        </w:tc>
      </w:tr>
      <w:tr w:rsidR="00EE70B8" w14:paraId="0A7C3749" w14:textId="77777777">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25A2B131"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Pr>
          <w:p w14:paraId="6D746636"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2.2 Elabora en equipo la práctica de registros de la cámara de compensación (primera y segunda cámara), cuadros, y expone sus saldos en los estados financieros.</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D9E2F3"/>
          </w:tcPr>
          <w:p w14:paraId="2582156A"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b/>
                <w:bCs/>
                <w:sz w:val="18"/>
                <w:szCs w:val="18"/>
              </w:rPr>
              <w:t xml:space="preserve">Producto 4: </w:t>
            </w:r>
            <w:r>
              <w:rPr>
                <w:rFonts w:ascii="Century Gothic" w:hAnsi="Century Gothic" w:cs="Century Gothic" w:eastAsia="Century Gothic"/>
                <w:sz w:val="18"/>
                <w:szCs w:val="18"/>
              </w:rPr>
              <w:t>Práctica de registros de la cámara de compensación con tablas y cuadros, y su exposición en los estados financieros.</w:t>
            </w:r>
          </w:p>
        </w:tc>
      </w:tr>
      <w:tr w:rsidR="00EE70B8" w14:paraId="71116C4B" w14:textId="77777777">
        <w:tc>
          <w:tcPr>
            <w:tcW w:w="9393" w:type="dxa"/>
            <w:gridSpan w:val="16"/>
            <w:tcBorders>
              <w:top w:val="single" w:sz="6" w:space="0" w:color="1F3864"/>
              <w:left w:val="single" w:sz="6" w:space="0" w:color="1F3864"/>
              <w:bottom w:val="single" w:sz="6" w:space="0" w:color="1F3864"/>
              <w:right w:val="single" w:sz="6" w:space="0" w:color="1F3864"/>
            </w:tcBorders>
            <w:shd w:val="clear" w:color="auto" w:fill="4472C4"/>
            <w:vAlign w:val="center"/>
          </w:tcPr>
          <w:p w14:paraId="5A61B2B3" w14:textId="77777777" w:rsidR="00EE70B8" w:rsidRDefault="00C1535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Evidencias de conocimiento</w:t>
            </w:r>
          </w:p>
        </w:tc>
      </w:tr>
      <w:tr w:rsidR="00EE70B8" w14:paraId="115727C6"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44746F55"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Unidad de aprendizaje</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vAlign w:val="center"/>
          </w:tcPr>
          <w:p w14:paraId="41DFF3E9"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b/>
                <w:bCs/>
                <w:i/>
                <w:iCs/>
                <w:sz w:val="18"/>
                <w:szCs w:val="18"/>
              </w:rPr>
              <w:t>Contenidos</w:t>
            </w:r>
          </w:p>
          <w:p w14:paraId="479CF7ED"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i/>
                <w:iCs/>
                <w:sz w:val="18"/>
                <w:szCs w:val="18"/>
              </w:rPr>
              <w:t>C: cognitivo · P: procedimental · A: actitudinal · T: manejo de tecnología e IA</w:t>
            </w:r>
          </w:p>
        </w:tc>
        <w:tc>
          <w:tcPr>
            <w:tcW w:w="2741"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6BE02778"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Conocimientos circunstanciales</w:t>
            </w:r>
          </w:p>
        </w:tc>
      </w:tr>
      <w:tr w:rsidR="00EE70B8" w14:paraId="751CEAB2"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D9E2F3"/>
          </w:tcPr>
          <w:p w14:paraId="579D9019" w14:textId="77777777" w:rsidR="00EE70B8" w:rsidRDefault="00C15354">
            <w:pPr>
              <w:spacing w:after="8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lastRenderedPageBreak/>
              <w:t>Tema 1: El Sistema Financiero</w:t>
            </w:r>
          </w:p>
          <w:p w14:paraId="52ADFFA0" w14:textId="77777777" w:rsidR="00EE70B8" w:rsidRDefault="00C15354">
            <w:pPr>
              <w:spacing w:after="8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Tema 2: Bancos</w:t>
            </w:r>
          </w:p>
          <w:p w14:paraId="78347038" w14:textId="77777777" w:rsidR="00EE70B8" w:rsidRDefault="00C15354">
            <w:pPr>
              <w:spacing w:after="8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Tema 3: Normas y Políticas Contables para Bancos y Entidades Financieras</w:t>
            </w:r>
          </w:p>
          <w:p w14:paraId="0EC1FF0C" w14:textId="77777777" w:rsidR="00EE70B8" w:rsidRDefault="00C15354">
            <w:pPr>
              <w:spacing w:after="8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Tema 4: Constitución de Bancos y Entidades Financieras</w:t>
            </w:r>
          </w:p>
          <w:p w14:paraId="436215A6" w14:textId="77777777" w:rsidR="00EE70B8" w:rsidRDefault="00C15354">
            <w:pPr>
              <w:spacing w:after="8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Tema 5: Disponibilidades</w:t>
            </w:r>
          </w:p>
          <w:p w14:paraId="24E5542D"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Tema 6: Cámara de Compensación</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tcPr>
          <w:p w14:paraId="0CDB1825" w14:textId="77777777" w:rsidR="00EE70B8" w:rsidRDefault="00C15354">
            <w:pPr>
              <w:spacing w:before="60" w:line="240" w:lineRule="auto"/>
              <w:rPr>
                <w:rFonts w:ascii="Century Gothic" w:hAnsi="Century Gothic" w:cs="Century Gothic" w:eastAsia="Century Gothic"/>
                <w:sz w:val="18"/>
                <w:szCs w:val="18"/>
              </w:rPr>
            </w:pPr>
            <w:r>
              <w:rPr>
                <w:rFonts w:ascii="Century Gothic" w:hAnsi="Century Gothic" w:cs="Century Gothic" w:eastAsia="Century Gothic"/>
                <w:b/>
                <w:bCs/>
                <w:sz w:val="18"/>
                <w:szCs w:val="18"/>
              </w:rPr>
              <w:t>Tema 1:</w:t>
            </w:r>
          </w:p>
          <w:p w14:paraId="4C39F618"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Introducción y concepto del sistema financiero. (C)</w:t>
            </w:r>
          </w:p>
          <w:p w14:paraId="66A2C877"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Elementos del sistema financiero. (C)</w:t>
            </w:r>
          </w:p>
          <w:p w14:paraId="0DF15D97"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Sistema de intermediación financiera. (C, A)</w:t>
            </w:r>
          </w:p>
          <w:p w14:paraId="7FA033F5" w14:textId="77777777" w:rsidR="00EE70B8" w:rsidRDefault="00C15354">
            <w:pPr>
              <w:spacing w:before="60" w:line="240" w:lineRule="auto"/>
              <w:rPr>
                <w:rFonts w:ascii="Century Gothic" w:hAnsi="Century Gothic" w:cs="Century Gothic" w:eastAsia="Century Gothic"/>
                <w:sz w:val="18"/>
                <w:szCs w:val="18"/>
              </w:rPr>
            </w:pPr>
            <w:r>
              <w:rPr>
                <w:rFonts w:ascii="Century Gothic" w:hAnsi="Century Gothic" w:cs="Century Gothic" w:eastAsia="Century Gothic"/>
                <w:b/>
                <w:bCs/>
                <w:sz w:val="18"/>
                <w:szCs w:val="18"/>
              </w:rPr>
              <w:t>Tema 2:</w:t>
            </w:r>
          </w:p>
          <w:p w14:paraId="3FF6307F"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Introducción al concepto de banco y clasificación de la banca. (C)</w:t>
            </w:r>
          </w:p>
          <w:p w14:paraId="62AF4097"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Clasificación de las entidades. (C)</w:t>
            </w:r>
          </w:p>
          <w:p w14:paraId="784DD37E"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Operaciones de un banco, operaciones financieras y organización de las entidades financieras. (C)</w:t>
            </w:r>
          </w:p>
          <w:p w14:paraId="5CB78587" w14:textId="77777777" w:rsidR="00EE70B8" w:rsidRDefault="00C15354">
            <w:pPr>
              <w:spacing w:before="60" w:line="240" w:lineRule="auto"/>
              <w:rPr>
                <w:rFonts w:ascii="Century Gothic" w:hAnsi="Century Gothic" w:cs="Century Gothic" w:eastAsia="Century Gothic"/>
                <w:sz w:val="18"/>
                <w:szCs w:val="18"/>
              </w:rPr>
            </w:pPr>
            <w:r>
              <w:rPr>
                <w:rFonts w:ascii="Century Gothic" w:hAnsi="Century Gothic" w:cs="Century Gothic" w:eastAsia="Century Gothic"/>
                <w:b/>
                <w:bCs/>
                <w:sz w:val="18"/>
                <w:szCs w:val="18"/>
              </w:rPr>
              <w:t>Tema 3:</w:t>
            </w:r>
          </w:p>
          <w:p w14:paraId="078A7685"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Definición de la contabilidad de bancos; documentación contable y manual de cuentas. (C, P)</w:t>
            </w:r>
          </w:p>
          <w:p w14:paraId="65F18410"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Cierre de gestión, presentación de estados financieros, auditoría externa, publicación en prensa y memoria anual. (C)</w:t>
            </w:r>
          </w:p>
          <w:p w14:paraId="7D64390B"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Transparencia de la información y atención al consumidor financiero en el marco de la función social de los servicios financieros. (C, A)</w:t>
            </w:r>
          </w:p>
          <w:p w14:paraId="08ED5608"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Normas contables; valuación de activos y pasivos en moneda extranjera y valuación de activos en moneda nacional. (C)</w:t>
            </w:r>
          </w:p>
          <w:p w14:paraId="140A2E47"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Cálculo y exposición de productos por cobrar y cargos por pagar; asignación de costos. (P)</w:t>
            </w:r>
          </w:p>
          <w:p w14:paraId="659E0433"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Consolidación de oficina central y sucursales; partidas pendientes de imputación. (C)</w:t>
            </w:r>
          </w:p>
          <w:p w14:paraId="7A141162" w14:textId="77777777" w:rsidR="00EE70B8" w:rsidRDefault="00C15354">
            <w:pPr>
              <w:spacing w:before="60" w:line="240" w:lineRule="auto"/>
              <w:rPr>
                <w:rFonts w:ascii="Century Gothic" w:hAnsi="Century Gothic" w:cs="Century Gothic" w:eastAsia="Century Gothic"/>
                <w:sz w:val="18"/>
                <w:szCs w:val="18"/>
              </w:rPr>
            </w:pPr>
            <w:r>
              <w:rPr>
                <w:rFonts w:ascii="Century Gothic" w:hAnsi="Century Gothic" w:cs="Century Gothic" w:eastAsia="Century Gothic"/>
                <w:b/>
                <w:bCs/>
                <w:sz w:val="18"/>
                <w:szCs w:val="18"/>
              </w:rPr>
              <w:t>Tema 4:</w:t>
            </w:r>
          </w:p>
          <w:p w14:paraId="6EEBDC47"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Marco legal para la constitución y el funcionamiento de bancos y entidades financieras; requisitos de constitución y licencia de funcionamiento. (C)</w:t>
            </w:r>
          </w:p>
          <w:p w14:paraId="696E7D69"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Capital mínimo de Bancos y Entidades Financieras; casos prácticos. (C)</w:t>
            </w:r>
          </w:p>
          <w:p w14:paraId="4ECE1B75"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Terminología financiera en inglés: </w:t>
            </w:r>
            <w:proofErr w:type="spellStart"/>
            <w:r>
              <w:rPr>
                <w:rFonts w:ascii="Century Gothic" w:hAnsi="Century Gothic" w:cs="Century Gothic" w:eastAsia="Century Gothic"/>
                <w:sz w:val="18"/>
                <w:szCs w:val="18"/>
              </w:rPr>
              <w:t>banking</w:t>
            </w:r>
            <w:proofErr w:type="spellEnd"/>
            <w:r>
              <w:rPr>
                <w:rFonts w:ascii="Century Gothic" w:hAnsi="Century Gothic" w:cs="Century Gothic" w:eastAsia="Century Gothic"/>
                <w:sz w:val="18"/>
                <w:szCs w:val="18"/>
              </w:rPr>
              <w:t xml:space="preserve">, </w:t>
            </w:r>
            <w:proofErr w:type="spellStart"/>
            <w:r>
              <w:rPr>
                <w:rFonts w:ascii="Century Gothic" w:hAnsi="Century Gothic" w:cs="Century Gothic" w:eastAsia="Century Gothic"/>
                <w:sz w:val="18"/>
                <w:szCs w:val="18"/>
              </w:rPr>
              <w:t>deposits</w:t>
            </w:r>
            <w:proofErr w:type="spellEnd"/>
            <w:r>
              <w:rPr>
                <w:rFonts w:ascii="Century Gothic" w:hAnsi="Century Gothic" w:cs="Century Gothic" w:eastAsia="Century Gothic"/>
                <w:sz w:val="18"/>
                <w:szCs w:val="18"/>
              </w:rPr>
              <w:t xml:space="preserve">, loan portfolio, </w:t>
            </w:r>
            <w:proofErr w:type="spellStart"/>
            <w:r>
              <w:rPr>
                <w:rFonts w:ascii="Century Gothic" w:hAnsi="Century Gothic" w:cs="Century Gothic" w:eastAsia="Century Gothic"/>
                <w:sz w:val="18"/>
                <w:szCs w:val="18"/>
              </w:rPr>
              <w:t>provisions</w:t>
            </w:r>
            <w:proofErr w:type="spellEnd"/>
            <w:r>
              <w:rPr>
                <w:rFonts w:ascii="Century Gothic" w:hAnsi="Century Gothic" w:cs="Century Gothic" w:eastAsia="Century Gothic"/>
                <w:sz w:val="18"/>
                <w:szCs w:val="18"/>
              </w:rPr>
              <w:t xml:space="preserve">, </w:t>
            </w:r>
            <w:proofErr w:type="spellStart"/>
            <w:r>
              <w:rPr>
                <w:rFonts w:ascii="Century Gothic" w:hAnsi="Century Gothic" w:cs="Century Gothic" w:eastAsia="Century Gothic"/>
                <w:sz w:val="18"/>
                <w:szCs w:val="18"/>
              </w:rPr>
              <w:t>liquidity</w:t>
            </w:r>
            <w:proofErr w:type="spellEnd"/>
            <w:r>
              <w:rPr>
                <w:rFonts w:ascii="Century Gothic" w:hAnsi="Century Gothic" w:cs="Century Gothic" w:eastAsia="Century Gothic"/>
                <w:sz w:val="18"/>
                <w:szCs w:val="18"/>
              </w:rPr>
              <w:t xml:space="preserve"> y capital </w:t>
            </w:r>
            <w:proofErr w:type="spellStart"/>
            <w:r>
              <w:rPr>
                <w:rFonts w:ascii="Century Gothic" w:hAnsi="Century Gothic" w:cs="Century Gothic" w:eastAsia="Century Gothic"/>
                <w:sz w:val="18"/>
                <w:szCs w:val="18"/>
              </w:rPr>
              <w:t>adequacy</w:t>
            </w:r>
            <w:proofErr w:type="spellEnd"/>
            <w:r>
              <w:rPr>
                <w:rFonts w:ascii="Century Gothic" w:hAnsi="Century Gothic" w:cs="Century Gothic" w:eastAsia="Century Gothic"/>
                <w:sz w:val="18"/>
                <w:szCs w:val="18"/>
              </w:rPr>
              <w:t>. (C)</w:t>
            </w:r>
          </w:p>
          <w:p w14:paraId="54002A13" w14:textId="77777777" w:rsidR="00EE70B8" w:rsidRDefault="00C15354">
            <w:pPr>
              <w:spacing w:before="60" w:line="240" w:lineRule="auto"/>
              <w:rPr>
                <w:rFonts w:ascii="Century Gothic" w:hAnsi="Century Gothic" w:cs="Century Gothic" w:eastAsia="Century Gothic"/>
                <w:sz w:val="18"/>
                <w:szCs w:val="18"/>
              </w:rPr>
            </w:pPr>
            <w:r>
              <w:rPr>
                <w:rFonts w:ascii="Century Gothic" w:hAnsi="Century Gothic" w:cs="Century Gothic" w:eastAsia="Century Gothic"/>
                <w:b/>
                <w:bCs/>
                <w:sz w:val="18"/>
                <w:szCs w:val="18"/>
              </w:rPr>
              <w:t>Tema 5:</w:t>
            </w:r>
          </w:p>
          <w:p w14:paraId="255AFB30"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Concepto de las disponibilidades; casos de débito y casos de crédito. (C)</w:t>
            </w:r>
          </w:p>
          <w:p w14:paraId="2E632393"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Interpretación del saldo de las disponibilidades y papeletas contables. (C)</w:t>
            </w:r>
          </w:p>
          <w:p w14:paraId="2C588EA7"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Faltantes y sobrantes de caja; procedimientos de regularización; casos prácticos. (P)</w:t>
            </w:r>
          </w:p>
          <w:p w14:paraId="5C6564BF"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Control interno del efectivo: arqueos sorpresivos, segregación de funciones y límites de bóveda. (C)</w:t>
            </w:r>
          </w:p>
          <w:p w14:paraId="38D6E98D" w14:textId="77777777" w:rsidR="00EE70B8" w:rsidRDefault="00C15354">
            <w:pPr>
              <w:spacing w:before="60" w:line="240" w:lineRule="auto"/>
              <w:rPr>
                <w:rFonts w:ascii="Century Gothic" w:hAnsi="Century Gothic" w:cs="Century Gothic" w:eastAsia="Century Gothic"/>
                <w:sz w:val="18"/>
                <w:szCs w:val="18"/>
              </w:rPr>
            </w:pPr>
            <w:r>
              <w:rPr>
                <w:rFonts w:ascii="Century Gothic" w:hAnsi="Century Gothic" w:cs="Century Gothic" w:eastAsia="Century Gothic"/>
                <w:b/>
                <w:bCs/>
                <w:sz w:val="18"/>
                <w:szCs w:val="18"/>
              </w:rPr>
              <w:t>Tema 6:</w:t>
            </w:r>
          </w:p>
          <w:p w14:paraId="27CA8ADC"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Definición y características de la cámara de compensación; su automatización. (C, T)</w:t>
            </w:r>
          </w:p>
          <w:p w14:paraId="203DDC16"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lastRenderedPageBreak/>
              <w:t>Importancia del encaje legal en la cámara de compensación y función de la Asociación de Bancos Privados de Bolivia (ASOBAN). (C)</w:t>
            </w:r>
          </w:p>
          <w:p w14:paraId="0030FA62"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Especificaciones, requisitos y material para el diseño de cheques; legibilidad de la información. (P)</w:t>
            </w:r>
          </w:p>
          <w:p w14:paraId="72023287"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Lectura electrónica de cheques y planilla de la cámara de compensación; casos prácticos. (C, T)</w:t>
            </w:r>
          </w:p>
          <w:p w14:paraId="59595656"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Sistemas de pago de alto y de bajo valor: cámara de compensación, liquidación en el Banco Central de Bolivia y pagos electrónicos inmediatos. (C, T)</w:t>
            </w:r>
          </w:p>
          <w:p w14:paraId="5351FBAE"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Prevención de la legitimación de ganancias ilícitas en el manejo del efectivo: debida diligencia del cliente, registro de operaciones y reporte de operaciones sospechosas. (P)</w:t>
            </w:r>
          </w:p>
        </w:tc>
        <w:tc>
          <w:tcPr>
            <w:tcW w:w="2741" w:type="dxa"/>
            <w:gridSpan w:val="4"/>
            <w:tcBorders>
              <w:top w:val="single" w:sz="6" w:space="0" w:color="1F3864"/>
              <w:left w:val="single" w:sz="6" w:space="0" w:color="1F3864"/>
              <w:bottom w:val="single" w:sz="6" w:space="0" w:color="1F3864"/>
              <w:right w:val="single" w:sz="6" w:space="0" w:color="1F3864"/>
            </w:tcBorders>
            <w:shd w:val="clear" w:color="auto" w:fill="D9E2F3"/>
          </w:tcPr>
          <w:p w14:paraId="0B312545" w14:textId="77777777" w:rsidR="00EE70B8" w:rsidRDefault="00C15354">
            <w:pPr>
              <w:numPr>
                <w:ilvl w:val="0"/>
                <w:numId w:val="3"/>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lastRenderedPageBreak/>
              <w:t>Nociones de la historia de la banca y del sistema financiero boliviano.</w:t>
            </w:r>
          </w:p>
          <w:p w14:paraId="776F807C" w14:textId="77777777" w:rsidR="00EE70B8" w:rsidRDefault="00C15354">
            <w:pPr>
              <w:numPr>
                <w:ilvl w:val="0"/>
                <w:numId w:val="3"/>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Nociones de la organización de una agencia y de una sucursal bancaria.</w:t>
            </w:r>
          </w:p>
          <w:p w14:paraId="0BA10CA3" w14:textId="77777777" w:rsidR="00EE70B8" w:rsidRDefault="00C15354">
            <w:pPr>
              <w:numPr>
                <w:ilvl w:val="0"/>
                <w:numId w:val="3"/>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Nociones de identificación de billetes falsificados y de las medidas de seguridad del billete boliviano.</w:t>
            </w:r>
          </w:p>
          <w:p w14:paraId="3C6E78CB"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Nociones de seguridad física y custodia del efectivo en bóveda.</w:t>
            </w:r>
          </w:p>
        </w:tc>
      </w:tr>
      <w:tr w:rsidR="00EE70B8" w14:paraId="3C22A897" w14:textId="77777777">
        <w:trPr/>
        <w:tc>
          <w:tcPr>
            <w:tcW w:w="9393" w:type="dxa"/>
            <w:gridSpan w:val="16"/>
            <w:tcBorders>
              <w:top w:val="single" w:sz="6" w:space="0" w:color="1F3864"/>
              <w:left w:val="single" w:sz="6" w:space="0" w:color="1F3864"/>
              <w:bottom w:val="single" w:sz="6" w:space="0" w:color="1F3864"/>
              <w:right w:val="single" w:sz="6" w:space="0" w:color="1F3864"/>
            </w:tcBorders>
            <w:shd w:val="clear" w:color="auto" w:fill="D9E2F3"/>
            <w:vAlign w:val="center"/>
          </w:tcPr>
          <w:p w14:paraId="71649E88" w14:textId="77777777" w:rsidR="00EE70B8" w:rsidRDefault="00C15354">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b/>
                <w:bCs/>
                <w:i/>
                <w:iCs/>
                <w:sz w:val="18"/>
                <w:szCs w:val="18"/>
              </w:rPr>
              <w:t xml:space="preserve">Elemento de competencia 2: </w:t>
            </w:r>
            <w:r>
              <w:rPr>
                <w:rFonts w:ascii="Century Gothic" w:hAnsi="Century Gothic" w:cs="Century Gothic" w:eastAsia="Century Gothic"/>
                <w:sz w:val="18"/>
                <w:szCs w:val="18"/>
              </w:rPr>
              <w:t xml:space="preserve">Aplica el tratamiento contable de los depósitos en cuentas corrientes, en cajas de ahorro y a plazo fijo, y calcula el encaje legal correspondiente.</w:t>
            </w:r>
          </w:p>
        </w:tc>
      </w:tr>
      <w:tr w:rsidR="00EE70B8" w14:paraId="63B90E7E" w14:textId="77777777">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18AA72F6" w14:textId="77777777" w:rsidR="00EE70B8" w:rsidRDefault="00C1535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Criterios de desempeño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4472C4"/>
            <w:vAlign w:val="center"/>
          </w:tcPr>
          <w:p w14:paraId="5E09137E" w14:textId="77777777" w:rsidR="00EE70B8" w:rsidRDefault="00C1535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Evidencias de desempeño</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1D3DB798" w14:textId="77777777" w:rsidR="00EE70B8" w:rsidRDefault="00C1535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Evidencias de producto</w:t>
            </w:r>
          </w:p>
        </w:tc>
      </w:tr>
      <w:tr w:rsidR="00EE70B8" w14:paraId="4665FA28" w14:textId="77777777">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14:paraId="4D6DF487"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1. Registra el movimiento contable de los depósitos en cuentas corrientes y en caja de ahorros, calculando sus intereses conforme a la normativa vigente.</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0E4AC972"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1.1 Registra la apertura, el movimiento, la clausura y el cierre de una cuenta corriente</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661ECB31"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b/>
                <w:bCs/>
                <w:sz w:val="18"/>
                <w:szCs w:val="18"/>
              </w:rPr>
              <w:t xml:space="preserve">Producto 5: </w:t>
            </w:r>
            <w:r>
              <w:rPr>
                <w:rFonts w:ascii="Century Gothic" w:hAnsi="Century Gothic" w:cs="Century Gothic" w:eastAsia="Century Gothic"/>
                <w:sz w:val="18"/>
                <w:szCs w:val="18"/>
              </w:rPr>
              <w:t>Movimiento contable de los depósitos en cuenta corriente en un caso práctico y su exposición en los Estados Financieros.</w:t>
            </w:r>
          </w:p>
        </w:tc>
      </w:tr>
      <w:tr w:rsidR="00EE70B8" w14:paraId="2DAA9874" w14:textId="77777777">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513AA4D3"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51D219C1"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1.2 Registra la apertura, el movimiento, cálculo de intereses y la clausura de una caja de ahorro.</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0432D88F"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b/>
                <w:bCs/>
                <w:sz w:val="18"/>
                <w:szCs w:val="18"/>
              </w:rPr>
              <w:t xml:space="preserve">Producto 6: </w:t>
            </w:r>
            <w:r>
              <w:rPr>
                <w:rFonts w:ascii="Century Gothic" w:hAnsi="Century Gothic" w:cs="Century Gothic" w:eastAsia="Century Gothic"/>
                <w:sz w:val="18"/>
                <w:szCs w:val="18"/>
              </w:rPr>
              <w:t>Movimiento contable de los depósitos en caja de ahorro en un caso práctico y su exposición en los Estados Financieros.</w:t>
            </w:r>
          </w:p>
        </w:tc>
      </w:tr>
      <w:tr w:rsidR="00EE70B8" w14:paraId="524B7BE3" w14:textId="77777777">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14:paraId="04A75DF4"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2. Registra el movimiento de los depósitos a plazo fijo en moneda nacional y extranjera y determina el encaje legal correspondiente de acuerdo con la normativa </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23CC1BE1"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2.1 Registra la apertura, el movimiento, cálculo de intereses y el cierre de un depósito a plazo fijo. </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68565017"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b/>
                <w:bCs/>
                <w:sz w:val="18"/>
                <w:szCs w:val="18"/>
              </w:rPr>
              <w:t xml:space="preserve">Producto 7: </w:t>
            </w:r>
            <w:r>
              <w:rPr>
                <w:rFonts w:ascii="Century Gothic" w:hAnsi="Century Gothic" w:cs="Century Gothic" w:eastAsia="Century Gothic"/>
                <w:sz w:val="18"/>
                <w:szCs w:val="18"/>
              </w:rPr>
              <w:t>Movimiento contable de los depósitos a plazo fijo en un caso práctico y su exposición en los Estados Financieros.</w:t>
            </w:r>
          </w:p>
        </w:tc>
      </w:tr>
      <w:tr w:rsidR="00EE70B8" w14:paraId="64F68E9A" w14:textId="77777777">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34DCA522"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0FB7D1E3"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2.2 Calcula el encaje legal en efectivo y en títulos determinando el excedente o deficiencia de encaje y la multa correspondiente de un caso práctico.</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19FB9E59"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b/>
                <w:bCs/>
                <w:sz w:val="18"/>
                <w:szCs w:val="18"/>
              </w:rPr>
              <w:t xml:space="preserve">Producto 8: </w:t>
            </w:r>
            <w:r>
              <w:rPr>
                <w:rFonts w:ascii="Century Gothic" w:hAnsi="Century Gothic" w:cs="Century Gothic" w:eastAsia="Century Gothic"/>
                <w:sz w:val="18"/>
                <w:szCs w:val="18"/>
              </w:rPr>
              <w:t>Cálculo del encaje legal y del Fondo RAL de un caso práctico.</w:t>
            </w:r>
          </w:p>
        </w:tc>
      </w:tr>
      <w:tr w:rsidR="00EE70B8" w14:paraId="0D5B2A78" w14:textId="77777777">
        <w:tc>
          <w:tcPr>
            <w:tcW w:w="9393" w:type="dxa"/>
            <w:gridSpan w:val="16"/>
            <w:tcBorders>
              <w:top w:val="single" w:sz="6" w:space="0" w:color="1F3864"/>
              <w:left w:val="single" w:sz="6" w:space="0" w:color="1F3864"/>
              <w:bottom w:val="single" w:sz="6" w:space="0" w:color="1F3864"/>
              <w:right w:val="single" w:sz="6" w:space="0" w:color="1F3864"/>
            </w:tcBorders>
            <w:shd w:val="clear" w:color="auto" w:fill="4472C4"/>
            <w:vAlign w:val="center"/>
          </w:tcPr>
          <w:p w14:paraId="61C994B7" w14:textId="77777777" w:rsidR="00EE70B8" w:rsidRDefault="00C1535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Evidencias de conocimiento</w:t>
            </w:r>
          </w:p>
        </w:tc>
      </w:tr>
      <w:tr w:rsidR="00EE70B8" w14:paraId="1BDFAD91"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7D78E5FA"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Unidad de aprendizaje</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vAlign w:val="center"/>
          </w:tcPr>
          <w:p w14:paraId="221BA45A"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b/>
                <w:bCs/>
                <w:i/>
                <w:iCs/>
                <w:sz w:val="18"/>
                <w:szCs w:val="18"/>
              </w:rPr>
              <w:t>Contenidos</w:t>
            </w:r>
          </w:p>
          <w:p w14:paraId="197CE657"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i/>
                <w:iCs/>
                <w:sz w:val="18"/>
                <w:szCs w:val="18"/>
              </w:rPr>
              <w:t>C: cognitivo · P: procedimental · A: actitudinal · T: manejo de tecnología e IA</w:t>
            </w:r>
          </w:p>
        </w:tc>
        <w:tc>
          <w:tcPr>
            <w:tcW w:w="2741"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679D62AE"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Conocimientos circunstanciales</w:t>
            </w:r>
          </w:p>
        </w:tc>
      </w:tr>
      <w:tr w:rsidR="00EE70B8" w14:paraId="5E5BFA62"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6F124CEB"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Tema 7: Depósitos en Cuentas Corrientes</w:t>
            </w:r>
          </w:p>
          <w:p w14:paraId="2C1DCAE2"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Tema 8: Depósitos en Caja de Ahorros</w:t>
            </w:r>
          </w:p>
          <w:p w14:paraId="0DFD0F27"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Tema 9: Depósitos a Plazo Fijo</w:t>
            </w:r>
          </w:p>
          <w:p w14:paraId="403B16D9"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Tema 10: Encaje Legal</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vAlign w:val="center"/>
          </w:tcPr>
          <w:p w14:paraId="35E847D8" w14:textId="77777777" w:rsidR="00EE70B8" w:rsidRDefault="00C15354">
            <w:pPr>
              <w:pBdr>
                <w:top w:val="nil"/>
                <w:left w:val="nil"/>
                <w:bottom w:val="nil"/>
                <w:right w:val="nil"/>
                <w:between w:val="nil"/>
              </w:pBdr>
              <w:spacing w:before="10" w:after="10" w:line="240" w:lineRule="auto"/>
              <w:ind w:left="400"/>
              <w:jc w:val="left"/>
              <w:rPr>
                <w:rFonts w:ascii="Century Gothic" w:hAnsi="Century Gothic" w:cs="Century Gothic" w:eastAsia="Century Gothic"/>
                <w:b/>
                <w:bCs/>
                <w:sz w:val="18"/>
                <w:szCs w:val="18"/>
              </w:rPr>
            </w:pPr>
            <w:r>
              <w:rPr>
                <w:rFonts w:ascii="Century Gothic" w:hAnsi="Century Gothic" w:cs="Century Gothic" w:eastAsia="Century Gothic"/>
                <w:b/>
                <w:bCs/>
                <w:sz w:val="18"/>
                <w:szCs w:val="18"/>
              </w:rPr>
              <w:t>Tema 7:</w:t>
            </w:r>
          </w:p>
          <w:p w14:paraId="2B18E81C" w14:textId="77777777" w:rsidR="00EE70B8" w:rsidRDefault="00C15354">
            <w:pPr>
              <w:numPr>
                <w:ilvl w:val="0"/>
                <w:numId w:val="7"/>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Concepto y clasificación de los depósitos en cuentas corrientes; reglamento de cuentas corrientes. (C)</w:t>
            </w:r>
          </w:p>
          <w:p w14:paraId="758D4E50" w14:textId="77777777" w:rsidR="00EE70B8" w:rsidRDefault="00C15354">
            <w:pPr>
              <w:numPr>
                <w:ilvl w:val="0"/>
                <w:numId w:val="7"/>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Apertura y funcionamiento de las cuentas corrientes. (C)</w:t>
            </w:r>
          </w:p>
          <w:p w14:paraId="49025297" w14:textId="77777777" w:rsidR="00EE70B8" w:rsidRDefault="00C15354">
            <w:pPr>
              <w:numPr>
                <w:ilvl w:val="0"/>
                <w:numId w:val="7"/>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Clausura y rehabilitación de las cuentas corrientes; periodos de suspensión. (C)</w:t>
            </w:r>
          </w:p>
          <w:p w14:paraId="79274AB0" w14:textId="77777777" w:rsidR="00EE70B8" w:rsidRDefault="00C15354">
            <w:pPr>
              <w:numPr>
                <w:ilvl w:val="0"/>
                <w:numId w:val="7"/>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Errores atribuibles a la entidad bancaria en el manejo de las cuentas corrientes; casos prácticos. (C)</w:t>
            </w:r>
          </w:p>
          <w:p w14:paraId="736927FD" w14:textId="77777777" w:rsidR="00EE70B8" w:rsidRDefault="00C15354">
            <w:pPr>
              <w:pBdr>
                <w:top w:val="nil"/>
                <w:left w:val="nil"/>
                <w:bottom w:val="nil"/>
                <w:right w:val="nil"/>
                <w:between w:val="nil"/>
              </w:pBdr>
              <w:spacing w:before="10" w:after="10" w:line="240" w:lineRule="auto"/>
              <w:ind w:left="400"/>
              <w:jc w:val="left"/>
              <w:rPr>
                <w:rFonts w:ascii="Century Gothic" w:hAnsi="Century Gothic" w:cs="Century Gothic" w:eastAsia="Century Gothic"/>
                <w:b/>
                <w:bCs/>
                <w:sz w:val="18"/>
                <w:szCs w:val="18"/>
              </w:rPr>
            </w:pPr>
            <w:r>
              <w:rPr>
                <w:rFonts w:ascii="Century Gothic" w:hAnsi="Century Gothic" w:cs="Century Gothic" w:eastAsia="Century Gothic"/>
                <w:b/>
                <w:bCs/>
                <w:sz w:val="18"/>
                <w:szCs w:val="18"/>
              </w:rPr>
              <w:t>Tema 8:</w:t>
            </w:r>
          </w:p>
          <w:p w14:paraId="242FFE09" w14:textId="77777777" w:rsidR="00EE70B8" w:rsidRDefault="00C15354">
            <w:pPr>
              <w:numPr>
                <w:ilvl w:val="0"/>
                <w:numId w:val="7"/>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Concepto, libretas y clasificación de los depósitos en caja de ahorros. (C)</w:t>
            </w:r>
          </w:p>
          <w:p w14:paraId="6031731D" w14:textId="77777777" w:rsidR="00EE70B8" w:rsidRDefault="00C15354">
            <w:pPr>
              <w:numPr>
                <w:ilvl w:val="0"/>
                <w:numId w:val="7"/>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Apertura de depósitos en caja de ahorros; intereses y cálculo de intereses en cajas de ahorro. (P)</w:t>
            </w:r>
          </w:p>
          <w:p w14:paraId="641A0330" w14:textId="77777777" w:rsidR="00EE70B8" w:rsidRDefault="00C15354">
            <w:pPr>
              <w:numPr>
                <w:ilvl w:val="0"/>
                <w:numId w:val="7"/>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Movimiento contable de los depósitos en caja de ahorros; casos prácticos. (C)</w:t>
            </w:r>
          </w:p>
          <w:p w14:paraId="54F9389B" w14:textId="77777777" w:rsidR="00EE70B8" w:rsidRDefault="00C15354">
            <w:pPr>
              <w:pBdr>
                <w:top w:val="nil"/>
                <w:left w:val="nil"/>
                <w:bottom w:val="nil"/>
                <w:right w:val="nil"/>
                <w:between w:val="nil"/>
              </w:pBdr>
              <w:spacing w:before="10" w:after="10" w:line="240" w:lineRule="auto"/>
              <w:ind w:left="400"/>
              <w:jc w:val="left"/>
              <w:rPr>
                <w:rFonts w:ascii="Century Gothic" w:hAnsi="Century Gothic" w:cs="Century Gothic" w:eastAsia="Century Gothic"/>
                <w:b/>
                <w:bCs/>
                <w:sz w:val="18"/>
                <w:szCs w:val="18"/>
              </w:rPr>
            </w:pPr>
            <w:r>
              <w:rPr>
                <w:rFonts w:ascii="Century Gothic" w:hAnsi="Century Gothic" w:cs="Century Gothic" w:eastAsia="Century Gothic"/>
                <w:b/>
                <w:bCs/>
                <w:sz w:val="18"/>
                <w:szCs w:val="18"/>
              </w:rPr>
              <w:t>Tema 9:</w:t>
            </w:r>
          </w:p>
          <w:p w14:paraId="77FD68EC" w14:textId="77777777" w:rsidR="00EE70B8" w:rsidRDefault="00C15354">
            <w:pPr>
              <w:numPr>
                <w:ilvl w:val="0"/>
                <w:numId w:val="7"/>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Concepto y constitución de los depósitos a plazo fijo; emisión del certificado de depósito a plazo fijo. (C)</w:t>
            </w:r>
          </w:p>
          <w:p w14:paraId="4FAF2509" w14:textId="77777777" w:rsidR="00EE70B8" w:rsidRDefault="00C15354">
            <w:pPr>
              <w:numPr>
                <w:ilvl w:val="0"/>
                <w:numId w:val="7"/>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Normativa de funcionamiento e intereses en los depósitos a plazo fijo; movimiento contable; casos prácticos. (C)</w:t>
            </w:r>
          </w:p>
          <w:p w14:paraId="0D2CBB7D" w14:textId="77777777" w:rsidR="00EE70B8" w:rsidRDefault="00C15354">
            <w:pPr>
              <w:pBdr>
                <w:top w:val="nil"/>
                <w:left w:val="nil"/>
                <w:bottom w:val="nil"/>
                <w:right w:val="nil"/>
                <w:between w:val="nil"/>
              </w:pBdr>
              <w:spacing w:before="10" w:after="10" w:line="240" w:lineRule="auto"/>
              <w:ind w:left="400"/>
              <w:jc w:val="left"/>
              <w:rPr>
                <w:rFonts w:ascii="Century Gothic" w:hAnsi="Century Gothic" w:cs="Century Gothic" w:eastAsia="Century Gothic"/>
                <w:b/>
                <w:bCs/>
                <w:sz w:val="18"/>
                <w:szCs w:val="18"/>
              </w:rPr>
            </w:pPr>
            <w:r>
              <w:rPr>
                <w:rFonts w:ascii="Century Gothic" w:hAnsi="Century Gothic" w:cs="Century Gothic" w:eastAsia="Century Gothic"/>
                <w:b/>
                <w:bCs/>
                <w:sz w:val="18"/>
                <w:szCs w:val="18"/>
              </w:rPr>
              <w:t>Tema 10:</w:t>
            </w:r>
          </w:p>
          <w:p w14:paraId="08216F7F" w14:textId="77777777" w:rsidR="00EE70B8" w:rsidRDefault="00C15354">
            <w:pPr>
              <w:numPr>
                <w:ilvl w:val="0"/>
                <w:numId w:val="7"/>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Concepto, objetivos y definiciones del encaje legal; el encaje legal y el Fondo de Requerimiento de Activos Líquidos (RAL). (C)</w:t>
            </w:r>
          </w:p>
          <w:p w14:paraId="05BF20C0" w14:textId="77777777" w:rsidR="00EE70B8" w:rsidRDefault="00C15354">
            <w:pPr>
              <w:numPr>
                <w:ilvl w:val="0"/>
                <w:numId w:val="7"/>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Tasas de encaje legal; pasivos sujetos y pasivos no sujetos al encaje legal; exenciones. (C)</w:t>
            </w:r>
          </w:p>
          <w:p w14:paraId="10580F6A" w14:textId="77777777" w:rsidR="00EE70B8" w:rsidRDefault="00C15354">
            <w:pPr>
              <w:numPr>
                <w:ilvl w:val="0"/>
                <w:numId w:val="7"/>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Modificaciones de las tasas de encaje legal y su efecto sobre la liquidez del sistema financiero y sobre el crédito. (C)</w:t>
            </w:r>
          </w:p>
          <w:p w14:paraId="1D5408B0" w14:textId="77777777" w:rsidR="00EE70B8" w:rsidRDefault="00C15354">
            <w:pPr>
              <w:numPr>
                <w:ilvl w:val="0"/>
                <w:numId w:val="7"/>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Cómputo del encaje legal constituido en efectivo y del encaje legal en títulos. (C)</w:t>
            </w:r>
          </w:p>
          <w:p w14:paraId="3BDDFDBD" w14:textId="77777777" w:rsidR="00EE70B8" w:rsidRDefault="00C15354">
            <w:pPr>
              <w:numPr>
                <w:ilvl w:val="0"/>
                <w:numId w:val="7"/>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Concepto, constitución y administración del Fondo RAL; crédito de liquidez. (C)</w:t>
            </w:r>
          </w:p>
          <w:p w14:paraId="4E5BFF2C" w14:textId="77777777" w:rsidR="00EE70B8" w:rsidRDefault="00C15354">
            <w:pPr>
              <w:numPr>
                <w:ilvl w:val="0"/>
                <w:numId w:val="7"/>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No participación en el Fondo RAL y disolución del Fondo RAL. (C)</w:t>
            </w:r>
          </w:p>
          <w:p w14:paraId="3A5907B6" w14:textId="77777777" w:rsidR="00EE70B8" w:rsidRDefault="00C15354">
            <w:pPr>
              <w:numPr>
                <w:ilvl w:val="0"/>
                <w:numId w:val="7"/>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Reportes de encaje legal y multas por deficiencias de encaje legal; movimiento contable; casos prácticos. (C)</w:t>
            </w:r>
          </w:p>
          <w:p w14:paraId="0489AAF6" w14:textId="77777777" w:rsidR="00EE70B8" w:rsidRDefault="00C15354">
            <w:pPr>
              <w:numPr>
                <w:ilvl w:val="0"/>
                <w:numId w:val="7"/>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Protección del ahorrista: Fondo de Protección al Ahorrista previsto en la Ley de Servicios Financieros. (C)</w:t>
            </w:r>
          </w:p>
        </w:tc>
        <w:tc>
          <w:tcPr>
            <w:tcW w:w="2741"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0704AAD"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Nociones de verificación de firmas y de documentos de identidad en la apertura de cuentas.</w:t>
            </w:r>
          </w:p>
          <w:p w14:paraId="5EEDA83C"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Nociones del régimen de capacidad civil y de representación de los titulares de cuentas.</w:t>
            </w:r>
          </w:p>
        </w:tc>
      </w:tr>
      <w:tr w:rsidR="00EE70B8" w14:paraId="11E125D3" w14:textId="77777777">
        <w:trPr/>
        <w:tc>
          <w:tcPr>
            <w:tcW w:w="9393" w:type="dxa"/>
            <w:gridSpan w:val="16"/>
            <w:tcBorders>
              <w:top w:val="single" w:sz="6" w:space="0" w:color="1F3864"/>
              <w:left w:val="single" w:sz="6" w:space="0" w:color="1F3864"/>
              <w:bottom w:val="single" w:sz="6" w:space="0" w:color="1F3864"/>
              <w:right w:val="single" w:sz="6" w:space="0" w:color="1F3864"/>
            </w:tcBorders>
            <w:shd w:val="clear" w:color="auto" w:fill="D9E2F3"/>
          </w:tcPr>
          <w:p w14:paraId="09A173B9" w14:textId="77777777" w:rsidR="00EE70B8" w:rsidRDefault="00C15354">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b/>
                <w:bCs/>
                <w:i/>
                <w:iCs/>
                <w:sz w:val="18"/>
                <w:szCs w:val="18"/>
              </w:rPr>
              <w:t xml:space="preserve">Elemento de competencia 3: </w:t>
            </w:r>
            <w:r>
              <w:rPr>
                <w:rFonts w:ascii="Century Gothic" w:hAnsi="Century Gothic" w:cs="Century Gothic" w:eastAsia="Century Gothic"/>
                <w:sz w:val="18"/>
                <w:szCs w:val="18"/>
              </w:rPr>
              <w:t>Aplica el tratamiento contable de la cartera de créditos de una entidad financiera, desde el desembolso hasta la recuperación, considerando la previsión, el devengamiento de intereses, los créditos con recursos de segundo piso, la cartera en ejecución y los bienes adjudicados por vía legal.</w:t>
            </w:r>
          </w:p>
        </w:tc>
      </w:tr>
      <w:tr w:rsidR="00EE70B8" w14:paraId="401F4661" w14:textId="77777777">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0574CA2D" w14:textId="77777777" w:rsidR="00EE70B8" w:rsidRDefault="00C1535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Criterios de desempeño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4472C4"/>
            <w:vAlign w:val="center"/>
          </w:tcPr>
          <w:p w14:paraId="6C7CCE80" w14:textId="77777777" w:rsidR="00EE70B8" w:rsidRDefault="00C1535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Evidencias de desempeño</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0B0B0083" w14:textId="77777777" w:rsidR="00EE70B8" w:rsidRDefault="00C1535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Evidencias de producto</w:t>
            </w:r>
          </w:p>
        </w:tc>
      </w:tr>
      <w:tr w:rsidR="00EE70B8" w14:paraId="449DB441" w14:textId="77777777">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14:paraId="0ADBD833"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1. Registra el tratamiento contable individual de los tipos y modalidades de crédito que ofrece una entidad financiera, a lo largo de su ciclo contable: desembolso, previsión, devengamiento de intereses y recuperación.</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Pr>
          <w:p w14:paraId="2F01D1A7"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1.1 Desarrolla en aula un ejercicio integral de las operaciones de la cartera vigente de una entidad financiera (desembolso, devengamiento de intereses, previsión y recuperación) y lo expone en los estados financieros.</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D9E2F3"/>
          </w:tcPr>
          <w:p w14:paraId="73D4C530"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b/>
                <w:bCs/>
                <w:sz w:val="18"/>
                <w:szCs w:val="18"/>
              </w:rPr>
              <w:t xml:space="preserve">Producto 9: </w:t>
            </w:r>
            <w:r>
              <w:rPr>
                <w:rFonts w:ascii="Century Gothic" w:hAnsi="Century Gothic" w:cs="Century Gothic" w:eastAsia="Century Gothic"/>
                <w:sz w:val="18"/>
                <w:szCs w:val="18"/>
              </w:rPr>
              <w:t>Ejercicio integral de las operaciones de la cartera vigente de una entidad financiera, con su exposición en los estados financieros.</w:t>
            </w:r>
          </w:p>
        </w:tc>
      </w:tr>
      <w:tr w:rsidR="00EE70B8" w14:paraId="2FA0BBB0" w14:textId="77777777">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7118F827"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Pr>
          <w:p w14:paraId="65F4E880"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1.2 Desarrolla en equipo un ejercicio integral de las operaciones de la cartera vencida, calculando los intereses vencidos y los intereses penales, y lo expone en los estados financieros.</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D9E2F3"/>
          </w:tcPr>
          <w:p w14:paraId="7F886BE9" w14:textId="77777777" w:rsidR="00EE70B8" w:rsidRDefault="00C15354">
            <w:pPr>
              <w:spacing w:before="20" w:after="20" w:line="240" w:lineRule="auto"/>
              <w:jc w:val="left"/>
              <w:rPr>
                <w:rFonts w:ascii="Century Gothic" w:hAnsi="Century Gothic" w:cs="Century Gothic" w:eastAsia="Century Gothic"/>
                <w:b/>
                <w:bCs/>
                <w:sz w:val="18"/>
                <w:szCs w:val="18"/>
              </w:rPr>
            </w:pPr>
            <w:r>
              <w:rPr>
                <w:rFonts w:ascii="Century Gothic" w:hAnsi="Century Gothic" w:cs="Century Gothic" w:eastAsia="Century Gothic"/>
                <w:b/>
                <w:bCs/>
                <w:sz w:val="18"/>
                <w:szCs w:val="18"/>
              </w:rPr>
              <w:t xml:space="preserve">Producto 10: </w:t>
            </w:r>
            <w:r>
              <w:rPr>
                <w:rFonts w:ascii="Century Gothic" w:hAnsi="Century Gothic" w:cs="Century Gothic" w:eastAsia="Century Gothic"/>
                <w:sz w:val="18"/>
                <w:szCs w:val="18"/>
              </w:rPr>
              <w:t>Ejercicio integral de las operaciones de la cartera vencida, con el cálculo de los intereses vencidos y penales y su exposición en los estados financieros.</w:t>
            </w:r>
          </w:p>
        </w:tc>
      </w:tr>
      <w:tr w:rsidR="00EE70B8" w14:paraId="55490786" w14:textId="77777777">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14:paraId="444D1419"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2. Registra el tratamiento contable de los créditos con recursos de entidades financieras, de la cartera en ejecución y de la recuperación del crédito mediante bienes adjudicados por vía legal.</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Pr>
          <w:p w14:paraId="5C08CFA8"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2.1 Registra en aula las operaciones de crédito con recursos de entidades financieras y las expone en los estados financieros.</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D9E2F3"/>
          </w:tcPr>
          <w:p w14:paraId="5913524C"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b/>
                <w:bCs/>
                <w:sz w:val="18"/>
                <w:szCs w:val="18"/>
              </w:rPr>
              <w:t xml:space="preserve">Producto 11: </w:t>
            </w:r>
            <w:r>
              <w:rPr>
                <w:rFonts w:ascii="Century Gothic" w:hAnsi="Century Gothic" w:cs="Century Gothic" w:eastAsia="Century Gothic"/>
                <w:sz w:val="18"/>
                <w:szCs w:val="18"/>
              </w:rPr>
              <w:t>Tratamiento contable de los créditos con recursos de entidades financieras, con su exposición en los estados financieros.</w:t>
            </w:r>
          </w:p>
        </w:tc>
      </w:tr>
      <w:tr w:rsidR="00EE70B8" w14:paraId="19793FC6" w14:textId="77777777">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6DB27851"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Pr>
          <w:p w14:paraId="72BEB70E"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2.2 Registra en equipo el tratamiento contable de la cartera en ejecución y de su recuperación mediante la adjudicación de bienes por vía legal, y lo expone en los estados financieros.</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D9E2F3"/>
          </w:tcPr>
          <w:p w14:paraId="19818934"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b/>
                <w:bCs/>
                <w:sz w:val="18"/>
                <w:szCs w:val="18"/>
              </w:rPr>
              <w:t xml:space="preserve">Producto 12: </w:t>
            </w:r>
            <w:r>
              <w:rPr>
                <w:rFonts w:ascii="Century Gothic" w:hAnsi="Century Gothic" w:cs="Century Gothic" w:eastAsia="Century Gothic"/>
                <w:sz w:val="18"/>
                <w:szCs w:val="18"/>
              </w:rPr>
              <w:t>Tratamiento contable de la cartera en ejecución y de su recuperación mediante la adjudicación de bienes, con su exposición en los estados financieros.</w:t>
            </w:r>
          </w:p>
        </w:tc>
      </w:tr>
      <w:tr w:rsidR="00EE70B8" w14:paraId="48B4FCED" w14:textId="77777777">
        <w:tc>
          <w:tcPr>
            <w:tcW w:w="9393" w:type="dxa"/>
            <w:gridSpan w:val="16"/>
            <w:tcBorders>
              <w:top w:val="single" w:sz="6" w:space="0" w:color="1F3864"/>
              <w:left w:val="single" w:sz="6" w:space="0" w:color="1F3864"/>
              <w:bottom w:val="single" w:sz="6" w:space="0" w:color="1F3864"/>
              <w:right w:val="single" w:sz="6" w:space="0" w:color="1F3864"/>
            </w:tcBorders>
            <w:shd w:val="clear" w:color="auto" w:fill="4472C4"/>
            <w:vAlign w:val="center"/>
          </w:tcPr>
          <w:p w14:paraId="5B904507" w14:textId="77777777" w:rsidR="00EE70B8" w:rsidRDefault="00C1535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Evidencias de conocimiento</w:t>
            </w:r>
          </w:p>
        </w:tc>
      </w:tr>
      <w:tr w:rsidR="00EE70B8" w14:paraId="06BC49D0"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6257F2B4"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Unidad de aprendizaje</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vAlign w:val="center"/>
          </w:tcPr>
          <w:p w14:paraId="6306BEBA"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b/>
                <w:bCs/>
                <w:i/>
                <w:iCs/>
                <w:sz w:val="18"/>
                <w:szCs w:val="18"/>
              </w:rPr>
              <w:t>Contenidos</w:t>
            </w:r>
          </w:p>
          <w:p w14:paraId="14CFCF86"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i/>
                <w:iCs/>
                <w:sz w:val="18"/>
                <w:szCs w:val="18"/>
              </w:rPr>
              <w:t>C: cognitivo · P: procedimental · A: actitudinal · T: manejo de tecnología e IA</w:t>
            </w:r>
          </w:p>
        </w:tc>
        <w:tc>
          <w:tcPr>
            <w:tcW w:w="2741"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0358F504"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Conocimientos circunstanciales</w:t>
            </w:r>
          </w:p>
        </w:tc>
      </w:tr>
      <w:tr w:rsidR="00EE70B8" w14:paraId="7E1F0905"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00685C40"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Tema 11: Cartera de Créditos</w:t>
            </w:r>
          </w:p>
          <w:p w14:paraId="3EA7B2C1"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Tema 12: Régimen de Previsiones de Cartera</w:t>
            </w:r>
          </w:p>
          <w:p w14:paraId="42817619"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Tema 13: Adelantos en Cuentas Corrientes</w:t>
            </w:r>
          </w:p>
          <w:p w14:paraId="7B9C7917"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Tema 14: Documentos Descontados</w:t>
            </w:r>
          </w:p>
          <w:p w14:paraId="3CDE69A8"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Tema 15: Préstamos a Plazo Fijo</w:t>
            </w:r>
          </w:p>
          <w:p w14:paraId="3B882713"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Tema 16: Préstamos Amortizables</w:t>
            </w:r>
          </w:p>
          <w:p w14:paraId="714FE3F5"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Tema 17: Tarjetas de Crédito</w:t>
            </w:r>
          </w:p>
          <w:p w14:paraId="20E928F7" w14:textId="6FF618F1"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Tema 18: Préstamos con Recursos de</w:t>
            </w:r>
            <w:r w:rsidR="00906D7D">
              <w:rPr>
                <w:rFonts w:ascii="Century Gothic" w:hAnsi="Century Gothic" w:cs="Century Gothic" w:eastAsia="Century Gothic"/>
                <w:sz w:val="18"/>
                <w:szCs w:val="18"/>
              </w:rPr>
              <w:t>l BCB/</w:t>
            </w:r>
            <w:bookmarkStart w:id="0" w:name="_GoBack"/>
            <w:bookmarkEnd w:id="0"/>
            <w:r>
              <w:rPr>
                <w:rFonts w:ascii="Century Gothic" w:hAnsi="Century Gothic" w:cs="Century Gothic" w:eastAsia="Century Gothic"/>
                <w:sz w:val="18"/>
                <w:szCs w:val="18"/>
              </w:rPr>
              <w:t xml:space="preserve"> Entidades Financieras de Segundo Piso</w:t>
            </w:r>
          </w:p>
          <w:p w14:paraId="2BD5420E"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Tema 19: Cartera en Mora</w:t>
            </w:r>
          </w:p>
          <w:p w14:paraId="2F53E103"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Tema 20: Bienes Adjudicados</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tcPr>
          <w:p w14:paraId="3FEC0655" w14:textId="77777777" w:rsidR="00EE70B8" w:rsidRDefault="00C15354">
            <w:pPr>
              <w:keepNext/>
              <w:spacing w:before="60" w:after="40" w:line="240" w:lineRule="auto"/>
              <w:rPr>
                <w:rFonts w:ascii="Century Gothic" w:hAnsi="Century Gothic" w:cs="Century Gothic" w:eastAsia="Century Gothic"/>
                <w:sz w:val="18"/>
                <w:szCs w:val="18"/>
              </w:rPr>
            </w:pPr>
            <w:r>
              <w:rPr>
                <w:rFonts w:ascii="Century Gothic" w:hAnsi="Century Gothic" w:cs="Century Gothic" w:eastAsia="Century Gothic"/>
                <w:b/>
                <w:bCs/>
                <w:sz w:val="18"/>
                <w:szCs w:val="18"/>
              </w:rPr>
              <w:t>Tema 11:</w:t>
            </w:r>
          </w:p>
          <w:p w14:paraId="5CBBC757"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Concepto, importancia y función de la cartera de créditos en una entidad financiera. (C)</w:t>
            </w:r>
          </w:p>
          <w:p w14:paraId="2ADB33FE"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Clasificación de los créditos según la Ley de Servicios Financieros y la normativa de la ASFI. (C)</w:t>
            </w:r>
          </w:p>
          <w:p w14:paraId="36665384"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Estructura de las cuentas de cartera en el Manual de Cuentas de la ASFI. (C)</w:t>
            </w:r>
          </w:p>
          <w:p w14:paraId="0E9ECA4B" w14:textId="77777777" w:rsidR="00EE70B8" w:rsidRDefault="00C15354">
            <w:pPr>
              <w:keepNext/>
              <w:spacing w:before="80" w:after="40" w:line="240" w:lineRule="auto"/>
              <w:rPr>
                <w:rFonts w:ascii="Century Gothic" w:hAnsi="Century Gothic" w:cs="Century Gothic" w:eastAsia="Century Gothic"/>
                <w:sz w:val="18"/>
                <w:szCs w:val="18"/>
              </w:rPr>
            </w:pPr>
            <w:r>
              <w:rPr>
                <w:rFonts w:ascii="Century Gothic" w:hAnsi="Century Gothic" w:cs="Century Gothic" w:eastAsia="Century Gothic"/>
                <w:b/>
                <w:bCs/>
                <w:sz w:val="18"/>
                <w:szCs w:val="18"/>
              </w:rPr>
              <w:t>Tema 12:</w:t>
            </w:r>
          </w:p>
          <w:p w14:paraId="7CC362D4"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Créditos empresariales: características, destino y tratamiento contable. (C, P)</w:t>
            </w:r>
          </w:p>
          <w:p w14:paraId="6EB35912"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Créditos PYME y microcréditos: características, destino y tratamiento contable. (C, P)</w:t>
            </w:r>
          </w:p>
          <w:p w14:paraId="716D03B1" w14:textId="77777777" w:rsidR="00EE70B8" w:rsidRDefault="00C15354">
            <w:pPr>
              <w:keepNext/>
              <w:spacing w:before="80" w:after="40" w:line="240" w:lineRule="auto"/>
              <w:rPr>
                <w:rFonts w:ascii="Century Gothic" w:hAnsi="Century Gothic" w:cs="Century Gothic" w:eastAsia="Century Gothic"/>
                <w:sz w:val="18"/>
                <w:szCs w:val="18"/>
              </w:rPr>
            </w:pPr>
            <w:r>
              <w:rPr>
                <w:rFonts w:ascii="Century Gothic" w:hAnsi="Century Gothic" w:cs="Century Gothic" w:eastAsia="Century Gothic"/>
                <w:b/>
                <w:bCs/>
                <w:sz w:val="18"/>
                <w:szCs w:val="18"/>
              </w:rPr>
              <w:t>Tema 13:</w:t>
            </w:r>
          </w:p>
          <w:p w14:paraId="7E339CC0"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Créditos de vivienda y de vivienda de interés social: características y tratamiento contable. (C, P)</w:t>
            </w:r>
          </w:p>
          <w:p w14:paraId="1D1170E8"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Créditos de consumo y de consumo debitado a una cuenta: características y tratamiento contable. (C, P)</w:t>
            </w:r>
          </w:p>
          <w:p w14:paraId="41253133" w14:textId="77777777" w:rsidR="00EE70B8" w:rsidRDefault="00C15354">
            <w:pPr>
              <w:keepNext/>
              <w:spacing w:before="80" w:after="40" w:line="240" w:lineRule="auto"/>
              <w:rPr>
                <w:rFonts w:ascii="Century Gothic" w:hAnsi="Century Gothic" w:cs="Century Gothic" w:eastAsia="Century Gothic"/>
                <w:sz w:val="18"/>
                <w:szCs w:val="18"/>
              </w:rPr>
            </w:pPr>
            <w:r>
              <w:rPr>
                <w:rFonts w:ascii="Century Gothic" w:hAnsi="Century Gothic" w:cs="Century Gothic" w:eastAsia="Century Gothic"/>
                <w:b/>
                <w:bCs/>
                <w:sz w:val="18"/>
                <w:szCs w:val="18"/>
              </w:rPr>
              <w:t>Tema 14:</w:t>
            </w:r>
          </w:p>
          <w:p w14:paraId="4ADD3EDA"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Modalidades de crédito: sobregiros, líneas de crédito, descuento de documentos y créditos en cuotas. (C, P)</w:t>
            </w:r>
          </w:p>
          <w:p w14:paraId="24C11C6B"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Operaciones contingentes: boletas de garantía y cartas de crédito. (C)</w:t>
            </w:r>
          </w:p>
          <w:p w14:paraId="1F6C0BF1" w14:textId="77777777" w:rsidR="00EE70B8" w:rsidRDefault="00C15354">
            <w:pPr>
              <w:keepNext/>
              <w:spacing w:before="80" w:after="40" w:line="240" w:lineRule="auto"/>
              <w:rPr>
                <w:rFonts w:ascii="Century Gothic" w:hAnsi="Century Gothic" w:cs="Century Gothic" w:eastAsia="Century Gothic"/>
                <w:sz w:val="18"/>
                <w:szCs w:val="18"/>
              </w:rPr>
            </w:pPr>
            <w:r>
              <w:rPr>
                <w:rFonts w:ascii="Century Gothic" w:hAnsi="Century Gothic" w:cs="Century Gothic" w:eastAsia="Century Gothic"/>
                <w:b/>
                <w:bCs/>
                <w:sz w:val="18"/>
                <w:szCs w:val="18"/>
              </w:rPr>
              <w:t>Tema 15:</w:t>
            </w:r>
          </w:p>
          <w:p w14:paraId="0F12D294"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Evaluación de la capacidad de pago y responsabilidad en el otorgamiento del crédito. (C, A)</w:t>
            </w:r>
          </w:p>
          <w:p w14:paraId="602529D1"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Garantías del crédito y su tratamiento contable. (C)</w:t>
            </w:r>
          </w:p>
          <w:p w14:paraId="0CC21DA8"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Calificación de la cartera y categorías de riesgo; régimen de previsiones específica, genérica y cíclica. (C, P)</w:t>
            </w:r>
          </w:p>
          <w:p w14:paraId="0DF86AA2" w14:textId="77777777" w:rsidR="00EE70B8" w:rsidRDefault="00C15354">
            <w:pPr>
              <w:keepNext/>
              <w:spacing w:before="80" w:after="40" w:line="240" w:lineRule="auto"/>
              <w:rPr>
                <w:rFonts w:ascii="Century Gothic" w:hAnsi="Century Gothic" w:cs="Century Gothic" w:eastAsia="Century Gothic"/>
                <w:sz w:val="18"/>
                <w:szCs w:val="18"/>
              </w:rPr>
            </w:pPr>
            <w:r>
              <w:rPr>
                <w:rFonts w:ascii="Century Gothic" w:hAnsi="Century Gothic" w:cs="Century Gothic" w:eastAsia="Century Gothic"/>
                <w:b/>
                <w:bCs/>
                <w:sz w:val="18"/>
                <w:szCs w:val="18"/>
              </w:rPr>
              <w:t>Tema 16:</w:t>
            </w:r>
          </w:p>
          <w:p w14:paraId="0E1F8FF6"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Desembolso del crédito: registro contable y comisiones. (P)</w:t>
            </w:r>
          </w:p>
          <w:p w14:paraId="6BE2924D"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Devengamiento de intereses y productos devengados por cobrar. (C, P)</w:t>
            </w:r>
          </w:p>
          <w:p w14:paraId="6E138E2E"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Cobro de cuotas, amortización y recuperación de la cartera vigente; plan de pagos en hoja de cálculo. (P, T)</w:t>
            </w:r>
          </w:p>
          <w:p w14:paraId="7F425E70"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Ejercicio integral de la cartera vigente y su exposición en los estados financieros. (P)</w:t>
            </w:r>
          </w:p>
          <w:p w14:paraId="302DE5E6" w14:textId="77777777" w:rsidR="00EE70B8" w:rsidRDefault="00C15354">
            <w:pPr>
              <w:keepNext/>
              <w:spacing w:before="80" w:after="40" w:line="240" w:lineRule="auto"/>
              <w:rPr>
                <w:rFonts w:ascii="Century Gothic" w:hAnsi="Century Gothic" w:cs="Century Gothic" w:eastAsia="Century Gothic"/>
                <w:sz w:val="18"/>
                <w:szCs w:val="18"/>
              </w:rPr>
            </w:pPr>
            <w:r>
              <w:rPr>
                <w:rFonts w:ascii="Century Gothic" w:hAnsi="Century Gothic" w:cs="Century Gothic" w:eastAsia="Century Gothic"/>
                <w:b/>
                <w:bCs/>
                <w:sz w:val="18"/>
                <w:szCs w:val="18"/>
              </w:rPr>
              <w:t>Tema 17:</w:t>
            </w:r>
          </w:p>
          <w:p w14:paraId="6BD98217"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Traspaso de la cartera vigente a cartera vencida; criterios de mora. (C)</w:t>
            </w:r>
          </w:p>
          <w:p w14:paraId="1260AEE2"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Cálculo y registro de los intereses vencidos y de los intereses penales; suspensión del devengamiento. (P, T)</w:t>
            </w:r>
          </w:p>
          <w:p w14:paraId="2221D7C4"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Previsión, recuperación y reprogramación de la cartera vencida. (C, P)</w:t>
            </w:r>
          </w:p>
          <w:p w14:paraId="075F2E82"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Ejercicio integral de la cartera vencida y su exposición en los estados financieros. (P)</w:t>
            </w:r>
          </w:p>
          <w:p w14:paraId="6987DC75" w14:textId="77777777" w:rsidR="00EE70B8" w:rsidRDefault="00C15354">
            <w:pPr>
              <w:keepNext/>
              <w:spacing w:before="80" w:after="40" w:line="240" w:lineRule="auto"/>
              <w:rPr>
                <w:rFonts w:ascii="Century Gothic" w:hAnsi="Century Gothic" w:cs="Century Gothic" w:eastAsia="Century Gothic"/>
                <w:sz w:val="18"/>
                <w:szCs w:val="18"/>
              </w:rPr>
            </w:pPr>
            <w:r>
              <w:rPr>
                <w:rFonts w:ascii="Century Gothic" w:hAnsi="Century Gothic" w:cs="Century Gothic" w:eastAsia="Century Gothic"/>
                <w:b/>
                <w:bCs/>
                <w:sz w:val="18"/>
                <w:szCs w:val="18"/>
              </w:rPr>
              <w:t>Tema 18:</w:t>
            </w:r>
          </w:p>
          <w:p w14:paraId="1C216D4A"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Entidades financieras de segundo piso: concepto, función y marco normativo. (C)</w:t>
            </w:r>
          </w:p>
          <w:p w14:paraId="496A823B" w14:textId="6FCD54BA"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Créditos con recursos </w:t>
            </w:r>
            <w:r w:rsidR="00906D7D">
              <w:rPr>
                <w:rFonts w:ascii="Century Gothic" w:hAnsi="Century Gothic" w:cs="Century Gothic" w:eastAsia="Century Gothic"/>
                <w:sz w:val="18"/>
                <w:szCs w:val="18"/>
              </w:rPr>
              <w:t>del BCB/</w:t>
            </w:r>
            <w:r>
              <w:rPr>
                <w:rFonts w:ascii="Century Gothic" w:hAnsi="Century Gothic" w:cs="Century Gothic" w:eastAsia="Century Gothic"/>
                <w:sz w:val="18"/>
                <w:szCs w:val="18"/>
              </w:rPr>
              <w:t xml:space="preserve"> segundo piso: obligaciones, desembolso, devengamiento y cancelación; tratamiento contable. (C, P)</w:t>
            </w:r>
          </w:p>
          <w:p w14:paraId="1612DCD0"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Exposición de las operaciones con recursos de segundo piso en los estados financieros. (P)</w:t>
            </w:r>
          </w:p>
          <w:p w14:paraId="6CADE70F" w14:textId="77777777" w:rsidR="00EE70B8" w:rsidRDefault="00C15354">
            <w:pPr>
              <w:keepNext/>
              <w:spacing w:before="80" w:after="40" w:line="240" w:lineRule="auto"/>
              <w:rPr>
                <w:rFonts w:ascii="Century Gothic" w:hAnsi="Century Gothic" w:cs="Century Gothic" w:eastAsia="Century Gothic"/>
                <w:sz w:val="18"/>
                <w:szCs w:val="18"/>
              </w:rPr>
            </w:pPr>
            <w:r>
              <w:rPr>
                <w:rFonts w:ascii="Century Gothic" w:hAnsi="Century Gothic" w:cs="Century Gothic" w:eastAsia="Century Gothic"/>
                <w:b/>
                <w:bCs/>
                <w:sz w:val="18"/>
                <w:szCs w:val="18"/>
              </w:rPr>
              <w:t>Tema 19:</w:t>
            </w:r>
          </w:p>
          <w:p w14:paraId="66861FEF"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Traspaso a cartera en ejecución; inicio de la acción judicial y suspensión de productos. (C)</w:t>
            </w:r>
          </w:p>
          <w:p w14:paraId="42840CD5"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Previsión y registro contable de la cartera en ejecución. (C, P)</w:t>
            </w:r>
          </w:p>
          <w:p w14:paraId="5EED2EA1"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Recuperación de la cartera en ejecución y castigo de créditos. (C)</w:t>
            </w:r>
          </w:p>
          <w:p w14:paraId="4C22BBDE" w14:textId="77777777" w:rsidR="00EE70B8" w:rsidRDefault="00C15354">
            <w:pPr>
              <w:keepNext/>
              <w:spacing w:before="80" w:after="40" w:line="240" w:lineRule="auto"/>
              <w:rPr>
                <w:rFonts w:ascii="Century Gothic" w:hAnsi="Century Gothic" w:cs="Century Gothic" w:eastAsia="Century Gothic"/>
                <w:sz w:val="18"/>
                <w:szCs w:val="18"/>
              </w:rPr>
            </w:pPr>
            <w:r>
              <w:rPr>
                <w:rFonts w:ascii="Century Gothic" w:hAnsi="Century Gothic" w:cs="Century Gothic" w:eastAsia="Century Gothic"/>
                <w:b/>
                <w:bCs/>
                <w:sz w:val="18"/>
                <w:szCs w:val="18"/>
              </w:rPr>
              <w:t>Tema 20:</w:t>
            </w:r>
          </w:p>
          <w:p w14:paraId="6B8E0445"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Adjudicación de bienes por vía legal: procedimiento y requisitos. (C)</w:t>
            </w:r>
          </w:p>
          <w:p w14:paraId="4246B5FD"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Registro contable de los bienes adjudicados, previsión por tenencia y enajenación. (C, P)</w:t>
            </w:r>
          </w:p>
          <w:p w14:paraId="2DC08C8B" w14:textId="77777777" w:rsidR="00EE70B8" w:rsidRDefault="00C15354">
            <w:pPr>
              <w:numPr>
                <w:ilvl w:val="0"/>
                <w:numId w:val="8"/>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Exposición de la cartera en ejecución y de los bienes adjudicados en los estados financieros. (P)</w:t>
            </w:r>
          </w:p>
        </w:tc>
        <w:tc>
          <w:tcPr>
            <w:tcW w:w="2741" w:type="dxa"/>
            <w:gridSpan w:val="4"/>
            <w:tcBorders>
              <w:top w:val="single" w:sz="6" w:space="0" w:color="1F3864"/>
              <w:left w:val="single" w:sz="6" w:space="0" w:color="1F3864"/>
              <w:bottom w:val="single" w:sz="6" w:space="0" w:color="1F3864"/>
              <w:right w:val="single" w:sz="6" w:space="0" w:color="1F3864"/>
            </w:tcBorders>
            <w:shd w:val="clear" w:color="auto" w:fill="D9E2F3"/>
          </w:tcPr>
          <w:p w14:paraId="4EDC7DF9" w14:textId="77777777" w:rsidR="00EE70B8" w:rsidRDefault="00C15354">
            <w:pPr>
              <w:numPr>
                <w:ilvl w:val="0"/>
                <w:numId w:val="5"/>
              </w:numPr>
              <w:pBdr>
                <w:top w:val="nil"/>
                <w:left w:val="nil"/>
                <w:bottom w:val="nil"/>
                <w:right w:val="nil"/>
                <w:between w:val="nil"/>
              </w:pBdr>
              <w:spacing w:after="8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Nociones del proceso de solicitud, evaluación y aprobación del crédito.</w:t>
            </w:r>
          </w:p>
          <w:p w14:paraId="7BD98C40" w14:textId="77777777" w:rsidR="00EE70B8" w:rsidRDefault="00C15354">
            <w:pPr>
              <w:numPr>
                <w:ilvl w:val="0"/>
                <w:numId w:val="5"/>
              </w:numPr>
              <w:pBdr>
                <w:top w:val="nil"/>
                <w:left w:val="nil"/>
                <w:bottom w:val="nil"/>
                <w:right w:val="nil"/>
                <w:between w:val="nil"/>
              </w:pBdr>
              <w:spacing w:after="8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Nociones de la Central de Información Crediticia y del análisis de riesgo del prestatario.</w:t>
            </w:r>
          </w:p>
          <w:p w14:paraId="63E66870" w14:textId="77777777" w:rsidR="00EE70B8" w:rsidRDefault="00C15354">
            <w:pPr>
              <w:numPr>
                <w:ilvl w:val="0"/>
                <w:numId w:val="5"/>
              </w:numPr>
              <w:pBdr>
                <w:top w:val="nil"/>
                <w:left w:val="nil"/>
                <w:bottom w:val="nil"/>
                <w:right w:val="nil"/>
                <w:between w:val="nil"/>
              </w:pBdr>
              <w:spacing w:after="8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Nociones del proceso judicial de cobro de créditos.</w:t>
            </w:r>
          </w:p>
          <w:p w14:paraId="19416DD3"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Nociones de tasación de bienes muebles e inmuebles.</w:t>
            </w:r>
          </w:p>
        </w:tc>
      </w:tr>
      <w:tr w:rsidR="00EE70B8" w14:paraId="2210913C" w14:textId="77777777">
        <w:trPr/>
        <w:tc>
          <w:tcPr>
            <w:tcW w:w="9393" w:type="dxa"/>
            <w:gridSpan w:val="16"/>
            <w:tcBorders>
              <w:top w:val="single" w:sz="6" w:space="0" w:color="1F3864"/>
              <w:left w:val="single" w:sz="6" w:space="0" w:color="1F3864"/>
              <w:bottom w:val="single" w:sz="6" w:space="0" w:color="1F3864"/>
              <w:right w:val="single" w:sz="6" w:space="0" w:color="1F3864"/>
            </w:tcBorders>
            <w:shd w:val="clear" w:color="auto" w:fill="D9E2F3"/>
          </w:tcPr>
          <w:p w14:paraId="07AA0F10" w14:textId="77777777" w:rsidR="00EE70B8" w:rsidRDefault="00C15354">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b/>
                <w:bCs/>
                <w:i/>
                <w:iCs/>
                <w:sz w:val="18"/>
                <w:szCs w:val="18"/>
              </w:rPr>
              <w:t xml:space="preserve">Elemento de competencia 4: </w:t>
            </w:r>
            <w:r>
              <w:rPr>
                <w:rFonts w:ascii="Century Gothic" w:hAnsi="Century Gothic" w:cs="Century Gothic" w:eastAsia="Century Gothic"/>
                <w:sz w:val="18"/>
                <w:szCs w:val="18"/>
              </w:rPr>
              <w:t>Describe, a nivel de nociones, los instrumentos financieros y las operaciones de los agentes de bolsa, las sociedades administradoras de fondos de inversión, las entidades de leasing y las entidades auxiliares financieras, de acuerdo con la normativa del sistema financiero boliviano.</w:t>
            </w:r>
          </w:p>
        </w:tc>
      </w:tr>
      <w:tr w:rsidR="00EE70B8" w14:paraId="6C030355" w14:textId="77777777">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70A07C04"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i/>
                <w:iCs/>
                <w:sz w:val="18"/>
                <w:szCs w:val="18"/>
              </w:rPr>
              <w:t>Criterios de desempeño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57C2A1C2"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i/>
                <w:iCs/>
                <w:sz w:val="18"/>
                <w:szCs w:val="18"/>
              </w:rPr>
              <w:t>Criterios de desempeño</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60C47680"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i/>
                <w:iCs/>
                <w:sz w:val="18"/>
                <w:szCs w:val="18"/>
              </w:rPr>
              <w:t>Criterios de desempeño</w:t>
            </w:r>
          </w:p>
        </w:tc>
      </w:tr>
      <w:tr w:rsidR="00EE70B8" w14:paraId="0B2B5A6C" w14:textId="77777777">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14:paraId="4AA3D73A"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1. Describe, a nivel de nociones, los instrumentos financieros y el mercado de valores boliviano, identificando la función de los agentes de bolsa y de las sociedades administradoras de fondos de inversión.</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0A84B5F3"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1. Describe, a nivel de nociones, los instrumentos financieros y el mercado de valores boliviano, identificando la función de los agentes de bolsa y de las sociedades administradoras de fondos de inversión.</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2044D1A5"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1. Describe, a nivel de nociones, los instrumentos financieros y el mercado de valores boliviano, identificando la función de los agentes de bolsa y de las sociedades administradoras de fondos de inversión.</w:t>
            </w:r>
          </w:p>
        </w:tc>
      </w:tr>
      <w:tr w:rsidR="00EE70B8" w14:paraId="3AFA2D0E" w14:textId="77777777">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19388C8C"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297489E3"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1.2 Expone en equipo las operaciones de un agente de bolsa, de una SAFI y de una entidad auxiliar financiera, y registra en aula la operatoria contable de un contrato de leasing comparándolo con el crédito bancario según la NIIF 16.</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76DA97B0"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b/>
                <w:bCs/>
                <w:sz w:val="18"/>
                <w:szCs w:val="18"/>
              </w:rPr>
              <w:t xml:space="preserve">Producto 14: </w:t>
            </w:r>
            <w:r>
              <w:rPr>
                <w:rFonts w:ascii="Century Gothic" w:hAnsi="Century Gothic" w:cs="Century Gothic" w:eastAsia="Century Gothic"/>
                <w:sz w:val="18"/>
                <w:szCs w:val="18"/>
              </w:rPr>
              <w:t>Esquema de la operatoria contable de agentes de bolsa, SAFI y entidades auxiliares, y asientos con cuadro comparativo del leasing frente al crédito bancario.</w:t>
            </w:r>
          </w:p>
        </w:tc>
      </w:tr>
      <w:tr w:rsidR="00EE70B8" w14:paraId="701839EB" w14:textId="77777777">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14:paraId="2A9F3E24"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2. Describe, a nivel de nociones, las entidades de leasing y las entidades auxiliares financieras, y aplica el concepto de leasing en un caso práctico sencillo.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3A1FAC91"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2. Describe, a nivel de nociones, las entidades de leasing y las entidades auxiliares financieras, y aplica el concepto de leasing en un caso práctico sencillo.</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6C2C0712"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2. Describe, a nivel de nociones, las entidades de leasing y las entidades auxiliares financieras, y aplica el concepto de leasing en un caso práctico sencillo.</w:t>
            </w:r>
          </w:p>
        </w:tc>
      </w:tr>
      <w:tr w:rsidR="00EE70B8" w14:paraId="67F48AC1" w14:textId="77777777">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6C72DA4A"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0D2D34B5"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2.2 Calcula los indicadores de desempeño de una entidad financiera a partir de sus estados publicados y sustenta ante el curso el diagnóstico financiero de un banco boliviano.</w:t>
            </w:r>
          </w:p>
        </w:tc>
        <w:tc>
          <w:tcPr>
            <w:tcW w:w="313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1A4BC5EB"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b/>
                <w:bCs/>
                <w:sz w:val="18"/>
                <w:szCs w:val="18"/>
              </w:rPr>
              <w:t xml:space="preserve">Producto 16: </w:t>
            </w:r>
            <w:r>
              <w:rPr>
                <w:rFonts w:ascii="Century Gothic" w:hAnsi="Century Gothic" w:cs="Century Gothic" w:eastAsia="Century Gothic"/>
                <w:sz w:val="18"/>
                <w:szCs w:val="18"/>
              </w:rPr>
              <w:t>Tablero de indicadores de solvencia, liquidez y calidad de cartera e informe de diagnóstico financiero de un banco boliviano.</w:t>
            </w:r>
          </w:p>
        </w:tc>
      </w:tr>
      <w:tr w:rsidR="00EE70B8" w14:paraId="50DC4F7E" w14:textId="77777777">
        <w:tc>
          <w:tcPr>
            <w:tcW w:w="9393" w:type="dxa"/>
            <w:gridSpan w:val="16"/>
            <w:tcBorders>
              <w:top w:val="single" w:sz="6" w:space="0" w:color="1F3864"/>
              <w:left w:val="single" w:sz="6" w:space="0" w:color="1F3864"/>
              <w:bottom w:val="single" w:sz="6" w:space="0" w:color="1F3864"/>
              <w:right w:val="single" w:sz="6" w:space="0" w:color="1F3864"/>
            </w:tcBorders>
            <w:shd w:val="clear" w:color="auto" w:fill="4472C4"/>
            <w:vAlign w:val="center"/>
          </w:tcPr>
          <w:p w14:paraId="2B7C0BC5" w14:textId="77777777" w:rsidR="00EE70B8" w:rsidRDefault="00C1535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Evidencias de conocimiento</w:t>
            </w:r>
          </w:p>
        </w:tc>
      </w:tr>
      <w:tr w:rsidR="00EE70B8" w14:paraId="59E5B8E7"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2EE28731"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Unidad de aprendizaje</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vAlign w:val="center"/>
          </w:tcPr>
          <w:p w14:paraId="4369244A"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b/>
                <w:bCs/>
                <w:i/>
                <w:iCs/>
                <w:sz w:val="18"/>
                <w:szCs w:val="18"/>
              </w:rPr>
              <w:t>Contenidos</w:t>
            </w:r>
          </w:p>
          <w:p w14:paraId="33A1FB48"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i/>
                <w:iCs/>
                <w:sz w:val="18"/>
                <w:szCs w:val="18"/>
              </w:rPr>
              <w:t>C: cognitivo · P: procedimental · A: actitudinal · T: manejo de tecnología e IA</w:t>
            </w:r>
          </w:p>
        </w:tc>
        <w:tc>
          <w:tcPr>
            <w:tcW w:w="2741"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6831CF2C"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Conocimientos circunstanciales</w:t>
            </w:r>
          </w:p>
        </w:tc>
      </w:tr>
      <w:tr w:rsidR="00EE70B8" w14:paraId="6A16F065"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D9E2F3"/>
          </w:tcPr>
          <w:p w14:paraId="5CF361AA" w14:textId="77777777" w:rsidR="00EE70B8" w:rsidRDefault="00C15354">
            <w:pPr>
              <w:spacing w:after="8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Tema 21: Instrumentos Financieros</w:t>
            </w:r>
          </w:p>
          <w:p w14:paraId="7FF6983C" w14:textId="77777777" w:rsidR="00EE70B8" w:rsidRDefault="00C15354">
            <w:pPr>
              <w:spacing w:after="8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Tema 22: Agentes de Bolsa</w:t>
            </w:r>
          </w:p>
          <w:p w14:paraId="323B4210" w14:textId="77777777" w:rsidR="00EE70B8" w:rsidRDefault="00C15354">
            <w:pPr>
              <w:spacing w:after="8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Tema 23: Sociedades Administradoras de Fondos de Inversión (</w:t>
            </w:r>
            <w:proofErr w:type="spellStart"/>
            <w:r>
              <w:rPr>
                <w:rFonts w:ascii="Century Gothic" w:hAnsi="Century Gothic" w:cs="Century Gothic" w:eastAsia="Century Gothic"/>
                <w:sz w:val="18"/>
                <w:szCs w:val="18"/>
              </w:rPr>
              <w:t>SAFIs</w:t>
            </w:r>
            <w:proofErr w:type="spellEnd"/>
            <w:r>
              <w:rPr>
                <w:rFonts w:ascii="Century Gothic" w:hAnsi="Century Gothic" w:cs="Century Gothic" w:eastAsia="Century Gothic"/>
                <w:sz w:val="18"/>
                <w:szCs w:val="18"/>
              </w:rPr>
              <w:t>)</w:t>
            </w:r>
          </w:p>
          <w:p w14:paraId="26623ADA" w14:textId="77777777" w:rsidR="00EE70B8" w:rsidRDefault="00C15354">
            <w:pPr>
              <w:spacing w:after="8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Tema 24: Entidades de Leasing</w:t>
            </w:r>
          </w:p>
          <w:p w14:paraId="21788B46" w14:textId="77777777" w:rsidR="00EE70B8" w:rsidRDefault="00C15354">
            <w:pPr>
              <w:spacing w:after="8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Tema 25: Entidades Auxiliares Financieras</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tcPr>
          <w:p w14:paraId="2883BA3F" w14:textId="77777777" w:rsidR="00EE70B8" w:rsidRDefault="00C15354">
            <w:pPr>
              <w:pBdr>
                <w:top w:val="nil"/>
                <w:left w:val="nil"/>
                <w:bottom w:val="nil"/>
                <w:right w:val="nil"/>
                <w:between w:val="nil"/>
              </w:pBdr>
              <w:spacing w:line="240" w:lineRule="auto"/>
              <w:ind w:left="420"/>
              <w:jc w:val="left"/>
              <w:rPr>
                <w:rFonts w:ascii="Century Gothic" w:hAnsi="Century Gothic" w:cs="Century Gothic" w:eastAsia="Century Gothic"/>
                <w:b/>
                <w:bCs/>
                <w:sz w:val="18"/>
                <w:szCs w:val="18"/>
              </w:rPr>
            </w:pPr>
            <w:r>
              <w:rPr>
                <w:rFonts w:ascii="Century Gothic" w:hAnsi="Century Gothic" w:cs="Century Gothic" w:eastAsia="Century Gothic"/>
                <w:b/>
                <w:bCs/>
                <w:sz w:val="18"/>
                <w:szCs w:val="18"/>
              </w:rPr>
              <w:t>Tema 21:</w:t>
            </w:r>
          </w:p>
          <w:p w14:paraId="608CD71B" w14:textId="77777777" w:rsidR="00EE70B8" w:rsidRDefault="00C15354">
            <w:pPr>
              <w:numPr>
                <w:ilvl w:val="0"/>
                <w:numId w:val="1"/>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Concepto y tipos de instrumentos financieros: instrumentos de renta fija e instrumentos de renta variable. (C)</w:t>
            </w:r>
          </w:p>
          <w:p w14:paraId="162506F2" w14:textId="77777777" w:rsidR="00EE70B8" w:rsidRDefault="00C15354">
            <w:pPr>
              <w:numPr>
                <w:ilvl w:val="0"/>
                <w:numId w:val="1"/>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Concepto de activo financiero y de pasivo financiero. (C)</w:t>
            </w:r>
          </w:p>
          <w:p w14:paraId="2588271D" w14:textId="77777777" w:rsidR="00EE70B8" w:rsidRDefault="00C15354">
            <w:pPr>
              <w:numPr>
                <w:ilvl w:val="0"/>
                <w:numId w:val="1"/>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Clasificación y medición de los activos financieros según el modelo de negocio y las características de los flujos contractuales, y deterioro por pérdidas crediticias esperadas conforme a la NIIF 9. (C, P)</w:t>
            </w:r>
          </w:p>
          <w:p w14:paraId="73515C06" w14:textId="77777777" w:rsidR="00EE70B8" w:rsidRDefault="00C15354">
            <w:pPr>
              <w:numPr>
                <w:ilvl w:val="0"/>
                <w:numId w:val="1"/>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Registro y revelación de los instrumentos financieros en concordancia con las Normas Internacionales de Información Financiera. (C, P)</w:t>
            </w:r>
          </w:p>
          <w:p w14:paraId="13443FE1" w14:textId="77777777" w:rsidR="00EE70B8" w:rsidRDefault="00C15354">
            <w:pPr>
              <w:numPr>
                <w:ilvl w:val="0"/>
                <w:numId w:val="1"/>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Bonos verdes, bonos sociales y bonos sostenibles del mercado de valores boliviano y su registro como instrumentos de renta fija. (P, A)</w:t>
            </w:r>
          </w:p>
          <w:p w14:paraId="3C534B38" w14:textId="77777777" w:rsidR="00EE70B8" w:rsidRDefault="00C15354">
            <w:pPr>
              <w:pBdr>
                <w:top w:val="nil"/>
                <w:left w:val="nil"/>
                <w:bottom w:val="nil"/>
                <w:right w:val="nil"/>
                <w:between w:val="nil"/>
              </w:pBdr>
              <w:spacing w:line="240" w:lineRule="auto"/>
              <w:ind w:left="420"/>
              <w:jc w:val="left"/>
              <w:rPr>
                <w:rFonts w:ascii="Century Gothic" w:hAnsi="Century Gothic" w:cs="Century Gothic" w:eastAsia="Century Gothic"/>
                <w:b/>
                <w:bCs/>
                <w:sz w:val="18"/>
                <w:szCs w:val="18"/>
              </w:rPr>
            </w:pPr>
            <w:r>
              <w:rPr>
                <w:rFonts w:ascii="Century Gothic" w:hAnsi="Century Gothic" w:cs="Century Gothic" w:eastAsia="Century Gothic"/>
                <w:b/>
                <w:bCs/>
                <w:sz w:val="18"/>
                <w:szCs w:val="18"/>
              </w:rPr>
              <w:t>Tema 22:</w:t>
            </w:r>
          </w:p>
          <w:p w14:paraId="62796AD3" w14:textId="77777777" w:rsidR="00EE70B8" w:rsidRDefault="00C15354">
            <w:pPr>
              <w:numPr>
                <w:ilvl w:val="0"/>
                <w:numId w:val="1"/>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Concepto de agentes de bolsa; la Bolsa Boliviana de Valores y los agentes de bolsa en Bolivia. (C, A)</w:t>
            </w:r>
          </w:p>
          <w:p w14:paraId="6704056E" w14:textId="77777777" w:rsidR="00EE70B8" w:rsidRDefault="00C15354">
            <w:pPr>
              <w:numPr>
                <w:ilvl w:val="0"/>
                <w:numId w:val="1"/>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Mercado de valores, corredor de bolsa, tipos de valores y participantes del mercado de valores; operatoria contable de los agentes de bolsa. (C, A)</w:t>
            </w:r>
          </w:p>
          <w:p w14:paraId="20513291" w14:textId="77777777" w:rsidR="00EE70B8" w:rsidRDefault="00C15354">
            <w:pPr>
              <w:pBdr>
                <w:top w:val="nil"/>
                <w:left w:val="nil"/>
                <w:bottom w:val="nil"/>
                <w:right w:val="nil"/>
                <w:between w:val="nil"/>
              </w:pBdr>
              <w:spacing w:line="240" w:lineRule="auto"/>
              <w:ind w:left="420"/>
              <w:jc w:val="left"/>
              <w:rPr>
                <w:rFonts w:ascii="Century Gothic" w:hAnsi="Century Gothic" w:cs="Century Gothic" w:eastAsia="Century Gothic"/>
                <w:b/>
                <w:bCs/>
                <w:sz w:val="18"/>
                <w:szCs w:val="18"/>
              </w:rPr>
            </w:pPr>
            <w:r>
              <w:rPr>
                <w:rFonts w:ascii="Century Gothic" w:hAnsi="Century Gothic" w:cs="Century Gothic" w:eastAsia="Century Gothic"/>
                <w:b/>
                <w:bCs/>
                <w:sz w:val="18"/>
                <w:szCs w:val="18"/>
              </w:rPr>
              <w:t>Tema 23:</w:t>
            </w:r>
          </w:p>
          <w:p w14:paraId="660DA3D7" w14:textId="77777777" w:rsidR="00EE70B8" w:rsidRDefault="00C15354">
            <w:pPr>
              <w:numPr>
                <w:ilvl w:val="0"/>
                <w:numId w:val="1"/>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Concepto de las Sociedades Administradoras de Fondos de Inversión (</w:t>
            </w:r>
            <w:proofErr w:type="spellStart"/>
            <w:r>
              <w:rPr>
                <w:rFonts w:ascii="Century Gothic" w:hAnsi="Century Gothic" w:cs="Century Gothic" w:eastAsia="Century Gothic"/>
                <w:sz w:val="18"/>
                <w:szCs w:val="18"/>
              </w:rPr>
              <w:t>SAFIs</w:t>
            </w:r>
            <w:proofErr w:type="spellEnd"/>
            <w:r>
              <w:rPr>
                <w:rFonts w:ascii="Century Gothic" w:hAnsi="Century Gothic" w:cs="Century Gothic" w:eastAsia="Century Gothic"/>
                <w:sz w:val="18"/>
                <w:szCs w:val="18"/>
              </w:rPr>
              <w:t>) y concepto de fondo de inversión; tipos de fondos de inversión. (C)</w:t>
            </w:r>
          </w:p>
          <w:p w14:paraId="34534DAA" w14:textId="77777777" w:rsidR="00EE70B8" w:rsidRDefault="00C15354">
            <w:pPr>
              <w:numPr>
                <w:ilvl w:val="0"/>
                <w:numId w:val="1"/>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Mercado de </w:t>
            </w:r>
            <w:proofErr w:type="spellStart"/>
            <w:r>
              <w:rPr>
                <w:rFonts w:ascii="Century Gothic" w:hAnsi="Century Gothic" w:cs="Century Gothic" w:eastAsia="Century Gothic"/>
                <w:sz w:val="18"/>
                <w:szCs w:val="18"/>
              </w:rPr>
              <w:t>SAFIs</w:t>
            </w:r>
            <w:proofErr w:type="spellEnd"/>
            <w:r>
              <w:rPr>
                <w:rFonts w:ascii="Century Gothic" w:hAnsi="Century Gothic" w:cs="Century Gothic" w:eastAsia="Century Gothic"/>
                <w:sz w:val="18"/>
                <w:szCs w:val="18"/>
              </w:rPr>
              <w:t xml:space="preserve"> en Bolivia y su operatoria contable. (C)</w:t>
            </w:r>
          </w:p>
          <w:p w14:paraId="7AD7556F" w14:textId="77777777" w:rsidR="00EE70B8" w:rsidRDefault="00C15354">
            <w:pPr>
              <w:numPr>
                <w:ilvl w:val="0"/>
                <w:numId w:val="1"/>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Fondos de inversión abiertos, cerrados y sostenibles del mercado de valores boliviano. (C, A)</w:t>
            </w:r>
          </w:p>
          <w:p w14:paraId="31F58BFF" w14:textId="77777777" w:rsidR="00EE70B8" w:rsidRDefault="00C15354">
            <w:pPr>
              <w:pBdr>
                <w:top w:val="nil"/>
                <w:left w:val="nil"/>
                <w:bottom w:val="nil"/>
                <w:right w:val="nil"/>
                <w:between w:val="nil"/>
              </w:pBdr>
              <w:spacing w:line="240" w:lineRule="auto"/>
              <w:ind w:left="420"/>
              <w:jc w:val="left"/>
              <w:rPr>
                <w:rFonts w:ascii="Century Gothic" w:hAnsi="Century Gothic" w:cs="Century Gothic" w:eastAsia="Century Gothic"/>
                <w:b/>
                <w:bCs/>
                <w:sz w:val="18"/>
                <w:szCs w:val="18"/>
              </w:rPr>
            </w:pPr>
            <w:r>
              <w:rPr>
                <w:rFonts w:ascii="Century Gothic" w:hAnsi="Century Gothic" w:cs="Century Gothic" w:eastAsia="Century Gothic"/>
                <w:b/>
                <w:bCs/>
                <w:sz w:val="18"/>
                <w:szCs w:val="18"/>
              </w:rPr>
              <w:t>Tema 24:</w:t>
            </w:r>
          </w:p>
          <w:p w14:paraId="3408751A" w14:textId="77777777" w:rsidR="00EE70B8" w:rsidRDefault="00C15354">
            <w:pPr>
              <w:numPr>
                <w:ilvl w:val="0"/>
                <w:numId w:val="1"/>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Concepto de leasing o arrendamiento y tipos de leasing. (C)</w:t>
            </w:r>
          </w:p>
          <w:p w14:paraId="43813A84" w14:textId="77777777" w:rsidR="00EE70B8" w:rsidRDefault="00C15354">
            <w:pPr>
              <w:numPr>
                <w:ilvl w:val="0"/>
                <w:numId w:val="1"/>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Diferencia entre el crédito bancario y el leasing; ventajas y desventajas del leasing. (C)</w:t>
            </w:r>
          </w:p>
          <w:p w14:paraId="4FAEAC26" w14:textId="77777777" w:rsidR="00EE70B8" w:rsidRDefault="00C15354">
            <w:pPr>
              <w:numPr>
                <w:ilvl w:val="0"/>
                <w:numId w:val="1"/>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El leasing en el marco de la Ley de Servicios Financieros; operatoria contable del leasing. (C)</w:t>
            </w:r>
          </w:p>
          <w:p w14:paraId="7B0F119B" w14:textId="77777777" w:rsidR="00EE70B8" w:rsidRDefault="00C15354">
            <w:pPr>
              <w:numPr>
                <w:ilvl w:val="0"/>
                <w:numId w:val="1"/>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Tratamiento del arrendamiento financiero conforme a la NIIF 16 y su diferencia con el registro regulatorio del Manual de Cuentas. (P)</w:t>
            </w:r>
          </w:p>
          <w:p w14:paraId="0C23656B" w14:textId="77777777" w:rsidR="00EE70B8" w:rsidRDefault="00C15354">
            <w:pPr>
              <w:pBdr>
                <w:top w:val="nil"/>
                <w:left w:val="nil"/>
                <w:bottom w:val="nil"/>
                <w:right w:val="nil"/>
                <w:between w:val="nil"/>
              </w:pBdr>
              <w:spacing w:line="240" w:lineRule="auto"/>
              <w:ind w:left="420"/>
              <w:jc w:val="left"/>
              <w:rPr>
                <w:rFonts w:ascii="Century Gothic" w:hAnsi="Century Gothic" w:cs="Century Gothic" w:eastAsia="Century Gothic"/>
                <w:b/>
                <w:bCs/>
                <w:sz w:val="18"/>
                <w:szCs w:val="18"/>
              </w:rPr>
            </w:pPr>
            <w:r>
              <w:rPr>
                <w:rFonts w:ascii="Century Gothic" w:hAnsi="Century Gothic" w:cs="Century Gothic" w:eastAsia="Century Gothic"/>
                <w:b/>
                <w:bCs/>
                <w:sz w:val="18"/>
                <w:szCs w:val="18"/>
              </w:rPr>
              <w:t>Tema 25:</w:t>
            </w:r>
          </w:p>
          <w:p w14:paraId="44F661F5" w14:textId="77777777" w:rsidR="00EE70B8" w:rsidRDefault="00C15354">
            <w:pPr>
              <w:numPr>
                <w:ilvl w:val="0"/>
                <w:numId w:val="1"/>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Concepto de las entidades auxiliares financieras: empresas de factoraje, almacenes generales de depósito, burós de información y empresas de transporte de material monetario y de valores. (C, A)</w:t>
            </w:r>
          </w:p>
          <w:p w14:paraId="3B18D4A9" w14:textId="77777777" w:rsidR="00EE70B8" w:rsidRDefault="00C15354">
            <w:pPr>
              <w:numPr>
                <w:ilvl w:val="0"/>
                <w:numId w:val="1"/>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Principales operaciones y constitución de las entidades auxiliares financieras; esquemas contables. (C)</w:t>
            </w:r>
          </w:p>
          <w:p w14:paraId="42A33D5F" w14:textId="77777777" w:rsidR="00EE70B8" w:rsidRDefault="00C15354">
            <w:pPr>
              <w:numPr>
                <w:ilvl w:val="0"/>
                <w:numId w:val="1"/>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Empresas de tecnología financiera y servicios de pago: pasarelas de pago, agregadores y facilitadores. (C)</w:t>
            </w:r>
          </w:p>
        </w:tc>
        <w:tc>
          <w:tcPr>
            <w:tcW w:w="2741"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0B764785" w14:textId="77777777" w:rsidR="00EE70B8" w:rsidRDefault="00C15354">
            <w:pPr>
              <w:numPr>
                <w:ilvl w:val="0"/>
                <w:numId w:val="1"/>
              </w:numPr>
              <w:pBdr>
                <w:top w:val="nil"/>
                <w:left w:val="nil"/>
                <w:bottom w:val="nil"/>
                <w:right w:val="nil"/>
                <w:between w:val="nil"/>
              </w:pBdr>
              <w:spacing w:after="8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Nociones de lectura de los boletines de precios y rendimientos de la Bolsa Boliviana de Valores.</w:t>
            </w:r>
          </w:p>
          <w:p w14:paraId="53A28345" w14:textId="77777777" w:rsidR="00EE70B8" w:rsidRDefault="00C15354">
            <w:pPr>
              <w:numPr>
                <w:ilvl w:val="0"/>
                <w:numId w:val="1"/>
              </w:numPr>
              <w:pBdr>
                <w:top w:val="nil"/>
                <w:left w:val="nil"/>
                <w:bottom w:val="nil"/>
                <w:right w:val="nil"/>
                <w:between w:val="nil"/>
              </w:pBdr>
              <w:spacing w:after="8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Nociones del contrato de arrendamiento financiero (leasing).</w:t>
            </w:r>
          </w:p>
          <w:p w14:paraId="1C92D29F" w14:textId="77777777" w:rsidR="00EE70B8" w:rsidRDefault="00C15354">
            <w:pPr>
              <w:numPr>
                <w:ilvl w:val="0"/>
                <w:numId w:val="1"/>
              </w:numPr>
              <w:pBdr>
                <w:top w:val="nil"/>
                <w:left w:val="nil"/>
                <w:bottom w:val="nil"/>
                <w:right w:val="nil"/>
                <w:between w:val="nil"/>
              </w:pBdr>
              <w:spacing w:after="8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Nociones del contrato de factoraje y de la cesión de créditos.</w:t>
            </w:r>
          </w:p>
          <w:p w14:paraId="47A6EE76" w14:textId="77777777" w:rsidR="00EE70B8" w:rsidRDefault="00C15354">
            <w:pPr>
              <w:numPr>
                <w:ilvl w:val="0"/>
                <w:numId w:val="1"/>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Nociones del funcionamiento de los almacenes generales de depósito y de sus títulos representativos de mercaderías.</w:t>
            </w:r>
          </w:p>
        </w:tc>
      </w:tr>
    </w:tbl>
    <w:p>
      <w:pPr>
        <w:spacing w:before="0" w:after="0" w:line="240" w:lineRule="auto"/>
        <w:rPr>
          <w:sz w:val="18"/>
          <w:szCs w:val="18"/>
        </w:rPr>
      </w:pPr>
    </w:p>
    <w:tbl>
      <w:tblPr>
        <w:tblW w:w="9405" w:type="dxa"/>
        <w:jc w:val="center"/>
        <w:tblBorders>
          <w:top w:val="single" w:sz="6" w:space="0" w:color="1F3864"/>
          <w:left w:val="single" w:sz="6" w:space="0" w:color="1F3864"/>
          <w:bottom w:val="single" w:sz="6" w:space="0" w:color="1F3864"/>
          <w:right w:val="single" w:sz="6" w:space="0" w:color="1F3864"/>
          <w:insideH w:val="single" w:sz="6" w:space="0" w:color="1F3864"/>
          <w:insideV w:val="single" w:sz="6" w:space="0" w:color="1F3864"/>
        </w:tblBorders>
        <w:tblLayout w:type="fixed"/>
        <w:tblCellMar>
          <w:top w:w="40" w:type="dxa"/>
          <w:left w:w="90" w:type="dxa"/>
          <w:bottom w:w="40" w:type="dxa"/>
          <w:right w:w="90" w:type="dxa"/>
        </w:tblCellMar>
        <w:tblLook w:val="0400" w:firstRow="0" w:lastRow="0" w:firstColumn="0" w:lastColumn="0" w:noHBand="0" w:noVBand="1"/>
      </w:tblPr>
      <w:tblGrid>
        <w:gridCol w:w="1175"/>
        <w:gridCol w:w="391"/>
        <w:gridCol w:w="391"/>
        <w:gridCol w:w="391"/>
        <w:gridCol w:w="783"/>
        <w:gridCol w:w="391"/>
        <w:gridCol w:w="391"/>
        <w:gridCol w:w="783"/>
        <w:gridCol w:w="783"/>
        <w:gridCol w:w="391"/>
        <w:gridCol w:w="391"/>
        <w:gridCol w:w="391"/>
        <w:gridCol w:w="391"/>
        <w:gridCol w:w="398"/>
        <w:gridCol w:w="385"/>
        <w:gridCol w:w="1567"/>
      </w:tblGrid>
      <w:tr w:rsidR="00EE70B8" w14:paraId="677028DE" w14:textId="77777777">
        <w:tc>
          <w:tcPr>
            <w:tcW w:w="9393" w:type="dxa"/>
            <w:gridSpan w:val="16"/>
            <w:tcBorders>
              <w:top w:val="single" w:sz="6" w:space="0" w:color="1F3864"/>
              <w:left w:val="single" w:sz="6" w:space="0" w:color="1F3864"/>
              <w:bottom w:val="single" w:sz="6" w:space="0" w:color="1F3864"/>
              <w:right w:val="single" w:sz="6" w:space="0" w:color="1F3864"/>
            </w:tcBorders>
            <w:shd w:val="clear" w:color="auto" w:fill="4472C4"/>
            <w:vAlign w:val="center"/>
          </w:tcPr>
          <w:p w14:paraId="0D113021" w14:textId="77777777" w:rsidR="00EE70B8" w:rsidRDefault="00C1535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Actividades</w:t>
            </w:r>
          </w:p>
        </w:tc>
      </w:tr>
      <w:tr w:rsidR="00EE70B8" w14:paraId="580738F2" w14:textId="77777777">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54DCC668" w14:textId="77777777" w:rsidR="00EE70B8" w:rsidRDefault="00C1535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En clase</w:t>
            </w: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4B463FD" w14:textId="77777777" w:rsidR="00EE70B8" w:rsidRDefault="00C1535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Autónomas</w:t>
            </w:r>
          </w:p>
        </w:tc>
        <w:tc>
          <w:tcPr>
            <w:tcW w:w="1566"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076CC372" w14:textId="77777777" w:rsidR="00EE70B8" w:rsidRDefault="00C1535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B-</w:t>
            </w:r>
            <w:proofErr w:type="spellStart"/>
            <w:r>
              <w:rPr>
                <w:rFonts w:ascii="Century Gothic" w:hAnsi="Century Gothic" w:cs="Century Gothic" w:eastAsia="Century Gothic"/>
                <w:b/>
                <w:bCs/>
                <w:i/>
                <w:iCs/>
                <w:color w:val="FFFFFF"/>
                <w:sz w:val="18"/>
                <w:szCs w:val="18"/>
              </w:rPr>
              <w:t>Learning</w:t>
            </w:r>
            <w:proofErr w:type="spellEnd"/>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72929A6B" w14:textId="77777777" w:rsidR="00EE70B8" w:rsidRDefault="00C1535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Taller</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7D3AE8F0" w14:textId="77777777" w:rsidR="00EE70B8" w:rsidRDefault="00C15354">
            <w:pPr>
              <w:keepNext/>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Investigación/Práctica</w:t>
            </w:r>
          </w:p>
        </w:tc>
      </w:tr>
      <w:tr w:rsidR="00EE70B8" w14:paraId="0CCD4E9C" w14:textId="77777777">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28207C33"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Exposición dialogada de la estructura del Sistema Financiero Nacional y de la normativa de la ASFI.</w:t>
            </w:r>
          </w:p>
          <w:p w14:paraId="014973AB"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Resolución guiada de papeletas contables de disponibilidades, depósitos y cartera.</w:t>
            </w:r>
          </w:p>
          <w:p w14:paraId="79E71101"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Demostración del cálculo del encaje legal y de las previsiones de cartera en hoja de cálculo.</w:t>
            </w:r>
          </w:p>
          <w:p w14:paraId="308441CF"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Análisis de casos de calificación de cartera y de bienes adjudicados de entidades bolivianas.</w:t>
            </w:r>
          </w:p>
          <w:p w14:paraId="5CDD7D89"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Preguntas de comprensión sobre la dinámica de las cuentas del Manual de Cuentas.</w:t>
            </w: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825DAB8"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Resolución de ejercicios de registro contable al cierre de cada tema.</w:t>
            </w:r>
          </w:p>
          <w:p w14:paraId="1F44988A"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Lectura del Manual de Cuentas para Entidades Financieras y de la normativa de la ASFI relacionada con cada tema.</w:t>
            </w:r>
          </w:p>
          <w:p w14:paraId="259CBBDA"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Desarrollo progresivo de un caso práctico integral de una entidad financiera.</w:t>
            </w:r>
          </w:p>
        </w:tc>
        <w:tc>
          <w:tcPr>
            <w:tcW w:w="1566"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08DF6C3F"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Cuestionarios de comprensión de cada operación financiera en la plataforma Moodle UMSA.</w:t>
            </w:r>
          </w:p>
          <w:p w14:paraId="7E485C63"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Foros de consulta sobre el tratamiento contable de la cartera de créditos y de las obligaciones con el público.</w:t>
            </w:r>
          </w:p>
          <w:p w14:paraId="390D4850"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Videotutoriales del cálculo del encaje legal y del Fondo RAL.</w:t>
            </w:r>
          </w:p>
          <w:p w14:paraId="4D9BF2C3"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Cuestionarios sobre la normativa de la Recopilación de Normas para Servicios Financieros en la plataforma Moodle UMSA.</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72BD0A8A"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Resolución colaborativa de casos de apertura y movimiento de cuentas corrientes, cajas de ahorro y depósitos a plazo fijo.</w:t>
            </w:r>
          </w:p>
          <w:p w14:paraId="594A38F5"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Elaboración guiada de la calificación de cartera y de las previsiones de una entidad financiera.</w:t>
            </w:r>
          </w:p>
          <w:p w14:paraId="0F77ED58"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Revisión cruzada de los estados financieros de una entidad financiera entre equipos.</w:t>
            </w:r>
          </w:p>
          <w:p w14:paraId="06D8F063"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Resolución de un caso de debida diligencia del cliente y detección de una operación sospechosa.</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4B8AA7E8"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Análisis de los estados financieros publicados por bancos bolivianos conforme al modelo de la ASFI.</w:t>
            </w:r>
          </w:p>
          <w:p w14:paraId="215853FD"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Revisión de circulares y normativa de la ASFI sobre cartera de créditos y encaje legal.</w:t>
            </w:r>
          </w:p>
          <w:p w14:paraId="549AC92E"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Comparación de la operatoria contable de un banco, una SAFI y una entidad de leasing.</w:t>
            </w:r>
          </w:p>
          <w:p w14:paraId="5124D35C"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Revisión de los boletines y reportes de la Autoridad de Supervisión del Sistema Financiero sobre la evolución de la cartera y los depósitos.</w:t>
            </w:r>
          </w:p>
        </w:tc>
      </w:tr>
    </w:tbl>
    <w:p>
      <w:pPr>
        <w:spacing w:before="0" w:after="0" w:line="240" w:lineRule="auto"/>
        <w:rPr>
          <w:sz w:val="18"/>
          <w:szCs w:val="18"/>
        </w:rPr>
      </w:pPr>
    </w:p>
    <w:tbl>
      <w:tblPr>
        <w:tblW w:w="9405" w:type="dxa"/>
        <w:jc w:val="center"/>
        <w:tblBorders>
          <w:top w:val="single" w:sz="6" w:space="0" w:color="1F3864"/>
          <w:left w:val="single" w:sz="6" w:space="0" w:color="1F3864"/>
          <w:bottom w:val="single" w:sz="6" w:space="0" w:color="1F3864"/>
          <w:right w:val="single" w:sz="6" w:space="0" w:color="1F3864"/>
          <w:insideH w:val="single" w:sz="6" w:space="0" w:color="1F3864"/>
          <w:insideV w:val="single" w:sz="6" w:space="0" w:color="1F3864"/>
        </w:tblBorders>
        <w:tblLayout w:type="fixed"/>
        <w:tblCellMar>
          <w:top w:w="40" w:type="dxa"/>
          <w:left w:w="90" w:type="dxa"/>
          <w:bottom w:w="40" w:type="dxa"/>
          <w:right w:w="90" w:type="dxa"/>
        </w:tblCellMar>
        <w:tblLook w:val="0400" w:firstRow="0" w:lastRow="0" w:firstColumn="0" w:lastColumn="0" w:noHBand="0" w:noVBand="1"/>
      </w:tblPr>
      <w:tblGrid>
        <w:gridCol w:w="1175"/>
        <w:gridCol w:w="391"/>
        <w:gridCol w:w="391"/>
        <w:gridCol w:w="391"/>
        <w:gridCol w:w="783"/>
        <w:gridCol w:w="391"/>
        <w:gridCol w:w="391"/>
        <w:gridCol w:w="783"/>
        <w:gridCol w:w="783"/>
        <w:gridCol w:w="391"/>
        <w:gridCol w:w="391"/>
        <w:gridCol w:w="391"/>
        <w:gridCol w:w="391"/>
        <w:gridCol w:w="398"/>
        <w:gridCol w:w="385"/>
        <w:gridCol w:w="1567"/>
      </w:tblGrid>
      <w:tr w:rsidR="00EE70B8" w14:paraId="4060B2F7"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B4D7683"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Estrategias de aprendizaje y enseñanza</w:t>
            </w:r>
          </w:p>
        </w:tc>
        <w:tc>
          <w:tcPr>
            <w:tcW w:w="7045" w:type="dxa"/>
            <w:gridSpan w:val="12"/>
            <w:tcBorders>
              <w:top w:val="single" w:sz="6" w:space="0" w:color="1F3864"/>
              <w:left w:val="single" w:sz="6" w:space="0" w:color="1F3864"/>
              <w:bottom w:val="single" w:sz="6" w:space="0" w:color="1F3864"/>
              <w:right w:val="single" w:sz="6" w:space="0" w:color="1F3864"/>
            </w:tcBorders>
            <w:shd w:val="clear" w:color="auto" w:fill="D9E2F3"/>
            <w:vAlign w:val="center"/>
          </w:tcPr>
          <w:p w14:paraId="25C85024"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Aprendizaje basado en problemas con operaciones de bancos y entidades financieras bolivianas.</w:t>
            </w:r>
          </w:p>
          <w:p w14:paraId="10B732AC"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Resolución guiada de casos prácticos en orden de dificultad creciente por producto financiero.</w:t>
            </w:r>
          </w:p>
          <w:p w14:paraId="5F1FAFCC"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Caso práctico integral que recorre las operaciones de una entidad financiera hasta sus estados financieros.</w:t>
            </w:r>
          </w:p>
          <w:p w14:paraId="5DA8119B"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Estudio de casos de entidades financieras reales del sistema boliviano.</w:t>
            </w:r>
          </w:p>
          <w:p w14:paraId="13B841C0"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Trabajo colaborativo en equipos de análisis y resolución de casos normativos.</w:t>
            </w:r>
          </w:p>
          <w:p w14:paraId="1EBF1F72"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Clase invertida para los contenidos introductorios y normativos de cada capítulo.</w:t>
            </w:r>
          </w:p>
          <w:p w14:paraId="252610D6"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Análisis crítico de los indicadores de una entidad financiera antes de emitir una conclusión sobre su situación.</w:t>
            </w:r>
          </w:p>
        </w:tc>
      </w:tr>
      <w:tr w:rsidR="00EE70B8" w14:paraId="5D2769B4"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58BE83AC"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Recursos para el aprendizaje</w:t>
            </w:r>
          </w:p>
        </w:tc>
        <w:tc>
          <w:tcPr>
            <w:tcW w:w="7045" w:type="dxa"/>
            <w:gridSpan w:val="12"/>
            <w:tcBorders>
              <w:top w:val="single" w:sz="6" w:space="0" w:color="1F3864"/>
              <w:left w:val="single" w:sz="6" w:space="0" w:color="1F3864"/>
              <w:bottom w:val="single" w:sz="6" w:space="0" w:color="1F3864"/>
              <w:right w:val="single" w:sz="6" w:space="0" w:color="1F3864"/>
            </w:tcBorders>
            <w:shd w:val="clear" w:color="auto" w:fill="D9E2F3"/>
            <w:vAlign w:val="center"/>
          </w:tcPr>
          <w:p w14:paraId="1FCE4470"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Plataforma Moodle UMSA.</w:t>
            </w:r>
          </w:p>
          <w:p w14:paraId="47244631"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Manual de Cuentas para Entidades Financieras y Recopilación de Normas para Servicios Financieros de la ASFI.</w:t>
            </w:r>
          </w:p>
          <w:p w14:paraId="55A5A6E8"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Compendio de Normas de Contabilidad y Auditoría del CAUB.</w:t>
            </w:r>
          </w:p>
          <w:p w14:paraId="4F00FBB4"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Hoja de cálculo para la resolución de casos prácticos de cartera, encaje legal e intereses.</w:t>
            </w:r>
          </w:p>
          <w:p w14:paraId="73C51808"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Guías de ejercicios y casos elaborados por la cátedra.</w:t>
            </w:r>
          </w:p>
          <w:p w14:paraId="6B37DD78"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Recopilación de Normas para Servicios Financieros y Manual de Cuentas para Entidades Financieras de la ASFI.</w:t>
            </w:r>
          </w:p>
          <w:p w14:paraId="59383A74"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Hoja de cálculo para el cálculo de intereses, encaje legal y previsiones de cartera.</w:t>
            </w:r>
          </w:p>
        </w:tc>
      </w:tr>
      <w:tr w:rsidR="00EE70B8" w14:paraId="576FED80"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4C0EF801"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Estrategias de evaluación</w:t>
            </w:r>
          </w:p>
        </w:tc>
        <w:tc>
          <w:tcPr>
            <w:tcW w:w="7045" w:type="dxa"/>
            <w:gridSpan w:val="12"/>
            <w:tcBorders>
              <w:top w:val="single" w:sz="6" w:space="0" w:color="1F3864"/>
              <w:left w:val="single" w:sz="6" w:space="0" w:color="1F3864"/>
              <w:bottom w:val="single" w:sz="6" w:space="0" w:color="1F3864"/>
              <w:right w:val="single" w:sz="6" w:space="0" w:color="1F3864"/>
            </w:tcBorders>
            <w:shd w:val="clear" w:color="auto" w:fill="D9E2F3"/>
            <w:vAlign w:val="center"/>
          </w:tcPr>
          <w:p w14:paraId="754D217E"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Evaluación diagnóstica: prueba inicial sobre los conocimientos previos de contabilidad intermedia, contabilidad de sociedades y contabilidad de tributos.</w:t>
            </w:r>
          </w:p>
          <w:p w14:paraId="2B0AC487"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Evaluación formativa: preguntas de comprensión y desarrollo de ejercicios prácticos en el aula, con retroalimentación continua, autoevaluación y coevaluación.</w:t>
            </w:r>
          </w:p>
          <w:p w14:paraId="57223C4B"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Evaluación sumativa: controles de lectura y asistencia, evaluación de casos prácticos, trabajos de investigación y desarrollo, exámenes parciales y examen final.</w:t>
            </w:r>
          </w:p>
        </w:tc>
      </w:tr>
      <w:tr w:rsidR="00EE70B8" w14:paraId="4CA3DB1C"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7BF722AF"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Criterios de calificación</w:t>
            </w:r>
          </w:p>
        </w:tc>
        <w:tc>
          <w:tcPr>
            <w:tcW w:w="7045" w:type="dxa"/>
            <w:gridSpan w:val="12"/>
            <w:tcBorders>
              <w:top w:val="single" w:sz="6" w:space="0" w:color="1F3864"/>
              <w:left w:val="single" w:sz="6" w:space="0" w:color="1F3864"/>
              <w:bottom w:val="single" w:sz="6" w:space="0" w:color="1F3864"/>
              <w:right w:val="single" w:sz="6" w:space="0" w:color="1F3864"/>
            </w:tcBorders>
            <w:shd w:val="clear" w:color="auto" w:fill="D9E2F3"/>
            <w:vAlign w:val="center"/>
          </w:tcPr>
          <w:p w14:paraId="52FA95F3"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Nota mínima de aprobación: 51/100.</w:t>
            </w:r>
          </w:p>
          <w:p w14:paraId="72576736"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Evaluación periódica al finalizar cada tema, basada en evidencias de conocimiento, desempeño y producto.</w:t>
            </w:r>
          </w:p>
          <w:p w14:paraId="1E1F7DF4"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Cada evidencia de producto se evalúa con su propia rúbrica de tres niveles: Insuficiente, Suficiente y Destacado.</w:t>
            </w:r>
          </w:p>
          <w:p w14:paraId="392FAC85"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La calificación de cada elemento de competencia suma las calificaciones de sus evidencias de producto.</w:t>
            </w:r>
          </w:p>
          <w:p w14:paraId="74FA2A9A"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Distribución de la calificación por elemento de competencia: Elemento 1, 20 %; Elemento 2, 35 %; Elemento 3, 35 %; Elemento 4, 10 %.</w:t>
            </w:r>
          </w:p>
          <w:p w14:paraId="3C41504E"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Dentro de cada elemento, los productos prácticos tienen mayor peso que los teóricos.</w:t>
            </w:r>
          </w:p>
          <w:p w14:paraId="30B28BA4"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La nota de cada producto (1–100) se multiplica por su peso porcentual; la suma de los 16 productos da la nota final sobre 100.</w:t>
            </w:r>
          </w:p>
        </w:tc>
      </w:tr>
      <w:tr w:rsidR="00EE70B8" w14:paraId="760508D0" w14:textId="77777777">
        <w:trPr/>
        <w:tc>
          <w:tcPr>
            <w:tcW w:w="1566" w:type="dxa"/>
            <w:gridSpan w:val="2"/>
            <w:vMerge w:val="restart"/>
            <w:tcBorders>
              <w:top w:val="single" w:sz="6" w:space="0" w:color="1F3864"/>
              <w:left w:val="single" w:sz="6" w:space="0" w:color="1F3864"/>
              <w:bottom w:val="single" w:sz="6" w:space="0" w:color="1F3864"/>
              <w:right w:val="single" w:sz="6" w:space="0" w:color="1F3864"/>
            </w:tcBorders>
            <w:shd w:val="clear" w:color="auto" w:fill="4472C4"/>
            <w:vAlign w:val="center"/>
          </w:tcPr>
          <w:p w14:paraId="4519946B"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Niveles de logro y distribución de la calificación</w:t>
            </w:r>
          </w:p>
        </w:tc>
        <w:tc>
          <w:tcPr>
            <w:tcW w:w="6260"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015F9F26" w14:textId="77777777" w:rsidR="00EE70B8" w:rsidRPr="00C15354" w:rsidRDefault="00C15354">
            <w:pPr>
              <w:spacing w:before="20" w:after="20" w:line="240" w:lineRule="auto"/>
              <w:jc w:val="center"/>
              <w:rPr>
                <w:rFonts w:ascii="Century Gothic" w:hAnsi="Century Gothic" w:cs="Century Gothic" w:eastAsia="Century Gothic"/>
                <w:sz w:val="18"/>
                <w:szCs w:val="18"/>
              </w:rPr>
            </w:pPr>
            <w:r w:rsidRPr="00C15354">
              <w:rPr>
                <w:rFonts w:ascii="Century Gothic" w:hAnsi="Century Gothic" w:cs="Century Gothic" w:eastAsia="Century Gothic"/>
                <w:b/>
                <w:bCs/>
                <w:i/>
                <w:iCs/>
                <w:sz w:val="18"/>
                <w:szCs w:val="18"/>
              </w:rPr>
              <w:t xml:space="preserve">Producto 1: </w:t>
            </w:r>
            <w:r w:rsidRPr="00C15354">
              <w:rPr>
                <w:rFonts w:ascii="Century Gothic" w:hAnsi="Century Gothic" w:cs="Century Gothic" w:eastAsia="Century Gothic"/>
                <w:sz w:val="18"/>
                <w:szCs w:val="18"/>
              </w:rPr>
              <w:t>Esquema del sistema financiero boliviano y de la constitución de una entidad financiera según la normativa aplicable de la ASFI</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4C6912DA"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color w:val="FFFFFF"/>
                <w:sz w:val="18"/>
                <w:szCs w:val="18"/>
              </w:rPr>
              <w:t>Peso: 3%</w:t>
            </w:r>
          </w:p>
        </w:tc>
      </w:tr>
      <w:tr w:rsidR="00EE70B8" w14:paraId="27997FFE"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3A301424"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6181773A"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3EC7D738"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Insuficiente (1–50)</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13984F72"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Suficiente (51–80)</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552C828F"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Destacado (81–100)</w:t>
            </w:r>
          </w:p>
        </w:tc>
      </w:tr>
      <w:tr w:rsidR="00EE70B8" w14:paraId="1F44D144"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46CFF729"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349A91A"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Estructura del sistema financiero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2BE90FAE"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las instituciones y los elementos del sistema financiero de forma incompleta o con errores conceptuales.</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270B59C2"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las instituciones y los elementos del sistema financiero con las ideas principales y errores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797F2F41"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las instituciones y los elementos del sistema financiero de forma completa, precisa y con sustento normativo.</w:t>
            </w:r>
          </w:p>
        </w:tc>
      </w:tr>
      <w:tr w:rsidR="00EE70B8" w14:paraId="56AD007D"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2E1CF2E6"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279F2930"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Constitución según la normativa de la ASFI</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1FFBE2CB"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los requisitos, el capital mínimo y la licencia de funcionamiento de forma incompleta o con errores conceptuales.</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1D383CBF"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los requisitos, el capital mínimo y la licencia de funcionamiento con las ideas principales y errores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117F2B4E"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los requisitos, el capital mínimo y la licencia de funcionamiento de forma completa, precisa y con sustento normativo.</w:t>
            </w:r>
          </w:p>
        </w:tc>
      </w:tr>
      <w:tr w:rsidR="00EE70B8" w14:paraId="71D473A8"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45F89B3E"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6D687F93"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Claridad y presentación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5CF31360"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Presentación desordenada o con errores ortográficos frecuentes.</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743B3625"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Presentación ordenada y comprensible, con omisiones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1E991557"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Presentación clara, jerárquica y sin errores ortográficos.</w:t>
            </w:r>
          </w:p>
        </w:tc>
      </w:tr>
      <w:tr w:rsidR="00EE70B8" w14:paraId="17318EC5"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7E65F80D"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6260"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28EA0D06" w14:textId="77777777" w:rsidR="00EE70B8" w:rsidRPr="00C15354" w:rsidRDefault="00C15354">
            <w:pPr>
              <w:spacing w:before="20" w:after="20" w:line="240" w:lineRule="auto"/>
              <w:jc w:val="center"/>
              <w:rPr>
                <w:rFonts w:ascii="Century Gothic" w:hAnsi="Century Gothic" w:cs="Century Gothic" w:eastAsia="Century Gothic"/>
                <w:sz w:val="18"/>
                <w:szCs w:val="18"/>
              </w:rPr>
            </w:pPr>
            <w:r w:rsidRPr="00C15354">
              <w:rPr>
                <w:rFonts w:ascii="Century Gothic" w:hAnsi="Century Gothic" w:cs="Century Gothic" w:eastAsia="Century Gothic"/>
                <w:b/>
                <w:bCs/>
                <w:i/>
                <w:iCs/>
                <w:sz w:val="18"/>
                <w:szCs w:val="18"/>
              </w:rPr>
              <w:t xml:space="preserve">Producto 2: </w:t>
            </w:r>
            <w:r w:rsidRPr="00C15354">
              <w:rPr>
                <w:rFonts w:ascii="Century Gothic" w:hAnsi="Century Gothic" w:cs="Century Gothic" w:eastAsia="Century Gothic"/>
                <w:sz w:val="18"/>
                <w:szCs w:val="18"/>
              </w:rPr>
              <w:t>Exposición en los estados financieros de los diferentes rubros expuestos en los manuales de la ASFI</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36027439"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color w:val="FFFFFF"/>
                <w:sz w:val="18"/>
                <w:szCs w:val="18"/>
              </w:rPr>
              <w:t>Peso: 5%</w:t>
            </w:r>
          </w:p>
        </w:tc>
      </w:tr>
      <w:tr w:rsidR="00EE70B8" w14:paraId="0557D4A2"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633EC9CC"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7AD073B8"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29F4472A"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Insuficiente (1–50)</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1B5AF0B3"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Suficiente (51–80)</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0AD0BFB9"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Destacado (81–100)</w:t>
            </w:r>
          </w:p>
        </w:tc>
      </w:tr>
      <w:tr w:rsidR="00EE70B8" w14:paraId="1F690A88"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1584F5B7"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28D31D10"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Aplicación del Manual de Cuentas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460EAF67"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Clasifica incorrectamente varias cuentas en sus grupos y subcuentas.</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C6BCBEC"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Clasifica las cuentas en sus grupos con errores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0E7AFDD8"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Clasifica todas las cuentas correctamente según el Manual de Cuentas de la ASFI.</w:t>
            </w:r>
          </w:p>
        </w:tc>
      </w:tr>
      <w:tr w:rsidR="00EE70B8" w14:paraId="418E4A28"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1BC5CCB0"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0E4A4825"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Valuación de activos y pasivos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52BE5C80"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El cálculo de la valuación de activos y pasivos en moneda nacional y extranjera es incorrecto o está incompleto.</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6BEF8904"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la valuación de activos y pasivos en moneda nacional y extranjera con diferencias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5F685B95"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la valuación de activos y pasivos en moneda nacional y extranjera con exactitud y explica el procedimiento.</w:t>
            </w:r>
          </w:p>
        </w:tc>
      </w:tr>
      <w:tr w:rsidR="00EE70B8" w14:paraId="0F5C97A7"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0ABFB102"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76F65059"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Exposición en los estados financieros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62755021"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No expone las operaciones o las expone con errores graves.</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498FEE1C"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las operaciones en los estados financieros con errores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1AE8622"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todas las operaciones correctamente, con saldos que cuadran.</w:t>
            </w:r>
          </w:p>
        </w:tc>
      </w:tr>
      <w:tr w:rsidR="00EE70B8" w14:paraId="3269C582"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6E329837"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6260"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260658D0" w14:textId="77777777" w:rsidR="00EE70B8" w:rsidRPr="00C15354" w:rsidRDefault="00C15354">
            <w:pPr>
              <w:spacing w:before="20" w:after="20" w:line="240" w:lineRule="auto"/>
              <w:jc w:val="center"/>
              <w:rPr>
                <w:rFonts w:ascii="Century Gothic" w:hAnsi="Century Gothic" w:cs="Century Gothic" w:eastAsia="Century Gothic"/>
                <w:sz w:val="18"/>
                <w:szCs w:val="18"/>
              </w:rPr>
            </w:pPr>
            <w:r w:rsidRPr="00C15354">
              <w:rPr>
                <w:rFonts w:ascii="Century Gothic" w:hAnsi="Century Gothic" w:cs="Century Gothic" w:eastAsia="Century Gothic"/>
                <w:b/>
                <w:bCs/>
                <w:i/>
                <w:iCs/>
                <w:sz w:val="18"/>
                <w:szCs w:val="18"/>
              </w:rPr>
              <w:t xml:space="preserve">Producto 3: </w:t>
            </w:r>
            <w:r w:rsidRPr="00C15354">
              <w:rPr>
                <w:rFonts w:ascii="Century Gothic" w:hAnsi="Century Gothic" w:cs="Century Gothic" w:eastAsia="Century Gothic"/>
                <w:sz w:val="18"/>
                <w:szCs w:val="18"/>
              </w:rPr>
              <w:t>Práctica de disponibilidades con su respectiva exposición en los estados financieros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5C89ED84"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color w:val="FFFFFF"/>
                <w:sz w:val="18"/>
                <w:szCs w:val="18"/>
              </w:rPr>
              <w:t>Peso: 6%</w:t>
            </w:r>
          </w:p>
        </w:tc>
      </w:tr>
      <w:tr w:rsidR="00EE70B8" w14:paraId="0FF98C29"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1ECADCED"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678A3BA0"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3D1E4690"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Insuficiente (1–50)</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4D85C932"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Suficiente (51–80)</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20845690"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Destacado (81–100)</w:t>
            </w:r>
          </w:p>
        </w:tc>
      </w:tr>
      <w:tr w:rsidR="00EE70B8" w14:paraId="449CF045"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7382BD0F"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799BE32E"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Registro de papeletas contables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6C6749EE"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Omite operaciones o registra incorrectamente las operaciones de disponibilidades.</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518C10CB"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las operaciones de disponibilidades con errores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056D13CA"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las operaciones de disponibilidades correctamente, con asientos y respaldos completos.</w:t>
            </w:r>
          </w:p>
        </w:tc>
      </w:tr>
      <w:tr w:rsidR="00EE70B8" w14:paraId="3D1406A2"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53BA5045"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2DA652AA"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Faltantes, sobrantes y saldos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60BE174D"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No regulariza los faltantes y sobrantes o interpreta mal los saldos.</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7790D31D"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Regulariza los faltantes y sobrantes e interpreta los saldos con errores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0A000031"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Regulariza correctamente y explica el saldo de cada cuenta de disponibilidades.</w:t>
            </w:r>
          </w:p>
        </w:tc>
      </w:tr>
      <w:tr w:rsidR="00EE70B8" w14:paraId="0CCE489B"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444F3C7C"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2ED02D66"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Exposición en los estados financieros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036A7F6B"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No expone las operaciones o las expone con errores graves.</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27A6EBC9"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las operaciones en los estados financieros con errores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49B05589"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todas las operaciones correctamente, con saldos que cuadran.</w:t>
            </w:r>
          </w:p>
        </w:tc>
      </w:tr>
      <w:tr w:rsidR="00EE70B8" w14:paraId="6548C193"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60C421FF"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6260"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5F591C9C" w14:textId="77777777" w:rsidR="00EE70B8" w:rsidRPr="00C15354" w:rsidRDefault="00C15354">
            <w:pPr>
              <w:spacing w:before="20" w:after="20" w:line="240" w:lineRule="auto"/>
              <w:jc w:val="center"/>
              <w:rPr>
                <w:rFonts w:ascii="Century Gothic" w:hAnsi="Century Gothic" w:cs="Century Gothic" w:eastAsia="Century Gothic"/>
                <w:sz w:val="18"/>
                <w:szCs w:val="18"/>
              </w:rPr>
            </w:pPr>
            <w:r w:rsidRPr="00C15354">
              <w:rPr>
                <w:rFonts w:ascii="Century Gothic" w:hAnsi="Century Gothic" w:cs="Century Gothic" w:eastAsia="Century Gothic"/>
                <w:b/>
                <w:bCs/>
                <w:i/>
                <w:iCs/>
                <w:sz w:val="18"/>
                <w:szCs w:val="18"/>
              </w:rPr>
              <w:t xml:space="preserve">Producto 4: </w:t>
            </w:r>
            <w:r w:rsidRPr="00C15354">
              <w:rPr>
                <w:rFonts w:ascii="Century Gothic" w:hAnsi="Century Gothic" w:cs="Century Gothic" w:eastAsia="Century Gothic"/>
                <w:sz w:val="18"/>
                <w:szCs w:val="18"/>
              </w:rPr>
              <w:t>Práctica de registros de la cámara de compensación con tablas y cuadros, y su exposición en los estados financieros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78AB78DD"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color w:val="FFFFFF"/>
                <w:sz w:val="18"/>
                <w:szCs w:val="18"/>
              </w:rPr>
              <w:t>Peso: 6%</w:t>
            </w:r>
          </w:p>
        </w:tc>
      </w:tr>
      <w:tr w:rsidR="00EE70B8" w14:paraId="7F88C437"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33371805"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63A135B5"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3A963BF1"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Insuficiente (1–50)</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30866890"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Suficiente (51–80)</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2F663840"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Destacado (81–100)</w:t>
            </w:r>
          </w:p>
        </w:tc>
      </w:tr>
      <w:tr w:rsidR="00EE70B8" w14:paraId="56E068D2"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3CDC716F"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6FF8881D"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Registros de la primera y segunda cámara</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2C8AA3BE"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Omite operaciones o registra incorrectamente los cheques de la primera y de la segunda cámara de compensación.</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5DB87661"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los cheques de la primera y de la segunda cámara de compensación con errores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08A25696"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los cheques de la primera y de la segunda cámara de compensación correctamente, con asientos y respaldos completos.</w:t>
            </w:r>
          </w:p>
        </w:tc>
      </w:tr>
      <w:tr w:rsidR="00EE70B8" w14:paraId="09399D00"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7A222032"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0A3A0B30"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Tablas y cuadros de la cámara</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6FCBEF00"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Tablas incompletas o con saldos que no cuadran.</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7D9CC689"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Tablas completas, con diferencias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02797993"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Tablas y cuadros completos, que cuadran y se explican.</w:t>
            </w:r>
          </w:p>
        </w:tc>
      </w:tr>
      <w:tr w:rsidR="00EE70B8" w14:paraId="531BD353"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0248BD02"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B879C15"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Exposición en los estados financieros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5C7B9C36"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No expone las operaciones o las expone con errores graves.</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0D24B19E"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las operaciones en los estados financieros con errores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53BEA063"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todas las operaciones correctamente, con saldos que cuadran.</w:t>
            </w:r>
          </w:p>
        </w:tc>
      </w:tr>
      <w:tr w:rsidR="00EE70B8" w14:paraId="12EC624C"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6D86FD6D"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6260"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6EB53C7A" w14:textId="77777777" w:rsidR="00EE70B8" w:rsidRPr="00C15354" w:rsidRDefault="00C15354">
            <w:pPr>
              <w:spacing w:before="20" w:after="20" w:line="240" w:lineRule="auto"/>
              <w:jc w:val="center"/>
              <w:rPr>
                <w:rFonts w:ascii="Century Gothic" w:hAnsi="Century Gothic" w:cs="Century Gothic" w:eastAsia="Century Gothic"/>
                <w:sz w:val="18"/>
                <w:szCs w:val="18"/>
              </w:rPr>
            </w:pPr>
            <w:r w:rsidRPr="00C15354">
              <w:rPr>
                <w:rFonts w:ascii="Century Gothic" w:hAnsi="Century Gothic" w:cs="Century Gothic" w:eastAsia="Century Gothic"/>
                <w:b/>
                <w:bCs/>
                <w:i/>
                <w:iCs/>
                <w:sz w:val="18"/>
                <w:szCs w:val="18"/>
              </w:rPr>
              <w:t xml:space="preserve">Producto 5: </w:t>
            </w:r>
            <w:r w:rsidRPr="00C15354">
              <w:rPr>
                <w:rFonts w:ascii="Century Gothic" w:hAnsi="Century Gothic" w:cs="Century Gothic" w:eastAsia="Century Gothic"/>
                <w:sz w:val="18"/>
                <w:szCs w:val="18"/>
              </w:rPr>
              <w:t>Movimiento contable de los depósitos en cuenta corriente en un caso práctico y su exposición en los estados financieros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39DDF428"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color w:val="FFFFFF"/>
                <w:sz w:val="18"/>
                <w:szCs w:val="18"/>
              </w:rPr>
              <w:t>Peso: 9%</w:t>
            </w:r>
          </w:p>
        </w:tc>
      </w:tr>
      <w:tr w:rsidR="00EE70B8" w14:paraId="2B2107A5"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1183C731"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077D6484"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7085DAE4"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Insuficiente (1–50)</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5A2B4CD8"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Suficiente (51–80)</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4A2FE996"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Destacado (81–100)</w:t>
            </w:r>
          </w:p>
        </w:tc>
      </w:tr>
      <w:tr w:rsidR="00EE70B8" w14:paraId="47FC9B43"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2D2F0ADA"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00C012BC"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Apertura, movimiento y clausura</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639B58FD"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Omite operaciones o registra incorrectamente la apertura, el movimiento y la clausura de la cuenta corriente.</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59B1BF92"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la apertura, el movimiento y la clausura de la cuenta corriente con errores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130F2B4B"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la apertura, el movimiento y la clausura de la cuenta corriente correctamente, con asientos y respaldos completos.</w:t>
            </w:r>
          </w:p>
        </w:tc>
      </w:tr>
      <w:tr w:rsidR="00EE70B8" w14:paraId="6668CCE1"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40DD29F7"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7F9FAD49"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Cálculo de saldos y cierre</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2BC7D171"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El cálculo de los saldos y el cierre de la cuenta corriente es incorrecto o está incompleto.</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2BBAA2B6"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los saldos y el cierre de la cuenta corriente con diferencias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200DE9C"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los saldos y el cierre de la cuenta corriente con exactitud y explica el procedimiento.</w:t>
            </w:r>
          </w:p>
        </w:tc>
      </w:tr>
      <w:tr w:rsidR="00EE70B8" w14:paraId="734DBC91"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5D88B525"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609A2B60"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Exposición en los estados financieros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157EE109"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No expone las operaciones o las expone con errores graves.</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F8BE3F8"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las operaciones en los estados financieros con errores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74B588CB"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todas las operaciones correctamente, con saldos que cuadran.</w:t>
            </w:r>
          </w:p>
        </w:tc>
      </w:tr>
      <w:tr w:rsidR="00EE70B8" w14:paraId="30915C0D"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08480B61"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6260"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4EE92FBA" w14:textId="77777777" w:rsidR="00EE70B8" w:rsidRPr="00C15354" w:rsidRDefault="00C15354">
            <w:pPr>
              <w:spacing w:before="20" w:after="20" w:line="240" w:lineRule="auto"/>
              <w:jc w:val="center"/>
              <w:rPr>
                <w:rFonts w:ascii="Century Gothic" w:hAnsi="Century Gothic" w:cs="Century Gothic" w:eastAsia="Century Gothic"/>
                <w:sz w:val="18"/>
                <w:szCs w:val="18"/>
              </w:rPr>
            </w:pPr>
            <w:r w:rsidRPr="00C15354">
              <w:rPr>
                <w:rFonts w:ascii="Century Gothic" w:hAnsi="Century Gothic" w:cs="Century Gothic" w:eastAsia="Century Gothic"/>
                <w:b/>
                <w:bCs/>
                <w:i/>
                <w:iCs/>
                <w:sz w:val="18"/>
                <w:szCs w:val="18"/>
              </w:rPr>
              <w:t xml:space="preserve">Producto 6: </w:t>
            </w:r>
            <w:r w:rsidRPr="00C15354">
              <w:rPr>
                <w:rFonts w:ascii="Century Gothic" w:hAnsi="Century Gothic" w:cs="Century Gothic" w:eastAsia="Century Gothic"/>
                <w:sz w:val="18"/>
                <w:szCs w:val="18"/>
              </w:rPr>
              <w:t>Movimiento contable de los depósitos en caja de ahorro en un caso práctico y su exposición en los estados financieros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62D8C1D8"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color w:val="FFFFFF"/>
                <w:sz w:val="18"/>
                <w:szCs w:val="18"/>
              </w:rPr>
              <w:t>Peso: 8%</w:t>
            </w:r>
          </w:p>
        </w:tc>
      </w:tr>
      <w:tr w:rsidR="00EE70B8" w14:paraId="0AAB2654"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53853DBB"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99E1510"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009AD065"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Insuficiente (1–50)</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4E397467"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Suficiente (51–80)</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0D3378BA"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Destacado (81–100)</w:t>
            </w:r>
          </w:p>
        </w:tc>
      </w:tr>
      <w:tr w:rsidR="00EE70B8" w14:paraId="6CA4C10D"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62EA252D"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4BA1262F"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Apertura, movimiento y clausura</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0042B610"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Omite operaciones o registra incorrectamente la apertura, el movimiento y la clausura de la caja de ahorro.</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1A4F4740"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la apertura, el movimiento y la clausura de la caja de ahorro con errores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6E6D2802"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la apertura, el movimiento y la clausura de la caja de ahorro correctamente, con asientos y respaldos completos.</w:t>
            </w:r>
          </w:p>
        </w:tc>
      </w:tr>
      <w:tr w:rsidR="00EE70B8" w14:paraId="1673C586"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078F0A89"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1593D229"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Cálculo de intereses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62F21EB2"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El cálculo de los intereses de la caja de ahorro es incorrecto o está incompleto.</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7D908E84"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los intereses de la caja de ahorro con diferencias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2DB867D3"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los intereses de la caja de ahorro con exactitud y explica el procedimiento.</w:t>
            </w:r>
          </w:p>
        </w:tc>
      </w:tr>
      <w:tr w:rsidR="00EE70B8" w14:paraId="5150B1F8"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726D5E2C"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68C2BC89"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Exposición en los estados financieros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11C7CC08"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No expone las operaciones o las expone con errores graves.</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8EB16D7"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las operaciones en los estados financieros con errores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2DD7F7F8"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todas las operaciones correctamente, con saldos que cuadran.</w:t>
            </w:r>
          </w:p>
        </w:tc>
      </w:tr>
      <w:tr w:rsidR="00EE70B8" w14:paraId="42C0CDFC"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1FC85EDF"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6260"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64EC5A71" w14:textId="77777777" w:rsidR="00EE70B8" w:rsidRPr="00C15354" w:rsidRDefault="00C15354">
            <w:pPr>
              <w:spacing w:before="20" w:after="20" w:line="240" w:lineRule="auto"/>
              <w:jc w:val="center"/>
              <w:rPr>
                <w:rFonts w:ascii="Century Gothic" w:hAnsi="Century Gothic" w:cs="Century Gothic" w:eastAsia="Century Gothic"/>
                <w:sz w:val="18"/>
                <w:szCs w:val="18"/>
              </w:rPr>
            </w:pPr>
            <w:r w:rsidRPr="00C15354">
              <w:rPr>
                <w:rFonts w:ascii="Century Gothic" w:hAnsi="Century Gothic" w:cs="Century Gothic" w:eastAsia="Century Gothic"/>
                <w:b/>
                <w:bCs/>
                <w:i/>
                <w:iCs/>
                <w:sz w:val="18"/>
                <w:szCs w:val="18"/>
              </w:rPr>
              <w:t xml:space="preserve">Producto 7: </w:t>
            </w:r>
            <w:r w:rsidRPr="00C15354">
              <w:rPr>
                <w:rFonts w:ascii="Century Gothic" w:hAnsi="Century Gothic" w:cs="Century Gothic" w:eastAsia="Century Gothic"/>
                <w:sz w:val="18"/>
                <w:szCs w:val="18"/>
              </w:rPr>
              <w:t>Movimiento contable de los depósitos a plazo fijo en un caso práctico y su exposición en los estados financieros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5A567B30"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color w:val="FFFFFF"/>
                <w:sz w:val="18"/>
                <w:szCs w:val="18"/>
              </w:rPr>
              <w:t>Peso: 9%</w:t>
            </w:r>
          </w:p>
        </w:tc>
      </w:tr>
      <w:tr w:rsidR="00EE70B8" w14:paraId="1539118C"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79AB0573"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0FD02DE"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7563BC50"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Insuficiente (1–50)</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0E3C35B6"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Suficiente (51–80)</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36E54948"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Destacado (81–100)</w:t>
            </w:r>
          </w:p>
        </w:tc>
      </w:tr>
      <w:tr w:rsidR="00EE70B8" w14:paraId="2219B2B2"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4962D8CA"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7023884F"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Apertura, movimiento y cierre</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1E31311E"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Omite operaciones o registra incorrectamente la apertura, el movimiento y el cierre del depósito a plazo fijo en moneda nacional y extranjera.</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60360D76"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la apertura, el movimiento y el cierre del depósito a plazo fijo en moneda nacional y extranjera con errores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14AF3F3D"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la apertura, el movimiento y el cierre del depósito a plazo fijo en moneda nacional y extranjera correctamente, con asientos y respaldos completos.</w:t>
            </w:r>
          </w:p>
        </w:tc>
      </w:tr>
      <w:tr w:rsidR="00EE70B8" w14:paraId="4C1221CB"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4EE91E98"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60479571"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Cálculo de intereses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3D034B"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El cálculo de los intereses del depósito a plazo fijo es incorrecto o está incompleto.</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00B415AA"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los intereses del depósito a plazo fijo con diferencias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17AFBDD4"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los intereses del depósito a plazo fijo con exactitud y explica el procedimiento.</w:t>
            </w:r>
          </w:p>
        </w:tc>
      </w:tr>
      <w:tr w:rsidR="00EE70B8" w14:paraId="7598609F"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6EA73B6D"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209FC27B"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Exposición en los estados financieros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2BF4A228"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No expone las operaciones o las expone con errores graves.</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62FD9838"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las operaciones en los estados financieros con errores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C58552"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todas las operaciones correctamente, con saldos que cuadran.</w:t>
            </w:r>
          </w:p>
        </w:tc>
      </w:tr>
      <w:tr w:rsidR="00EE70B8" w14:paraId="79E0F760"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71BF98B0"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6260"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5E518B8D" w14:textId="77777777" w:rsidR="00EE70B8" w:rsidRPr="00C15354" w:rsidRDefault="00C15354">
            <w:pPr>
              <w:spacing w:before="20" w:after="20" w:line="240" w:lineRule="auto"/>
              <w:jc w:val="center"/>
              <w:rPr>
                <w:rFonts w:ascii="Century Gothic" w:hAnsi="Century Gothic" w:cs="Century Gothic" w:eastAsia="Century Gothic"/>
                <w:sz w:val="18"/>
                <w:szCs w:val="18"/>
              </w:rPr>
            </w:pPr>
            <w:r w:rsidRPr="00C15354">
              <w:rPr>
                <w:rFonts w:ascii="Century Gothic" w:hAnsi="Century Gothic" w:cs="Century Gothic" w:eastAsia="Century Gothic"/>
                <w:b/>
                <w:bCs/>
                <w:i/>
                <w:iCs/>
                <w:sz w:val="18"/>
                <w:szCs w:val="18"/>
              </w:rPr>
              <w:t xml:space="preserve">Producto 8: </w:t>
            </w:r>
            <w:r w:rsidRPr="00C15354">
              <w:rPr>
                <w:rFonts w:ascii="Century Gothic" w:hAnsi="Century Gothic" w:cs="Century Gothic" w:eastAsia="Century Gothic"/>
                <w:sz w:val="18"/>
                <w:szCs w:val="18"/>
              </w:rPr>
              <w:t>Cálculo del encaje legal y del Fondo RAL de un caso práctico</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7963848C"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color w:val="FFFFFF"/>
                <w:sz w:val="18"/>
                <w:szCs w:val="18"/>
              </w:rPr>
              <w:t>Peso: 9%</w:t>
            </w:r>
          </w:p>
        </w:tc>
      </w:tr>
      <w:tr w:rsidR="00EE70B8" w14:paraId="3DC40F23"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467F1C47"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156CBA1E"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072CE113"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Insuficiente (1–50)</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5FC35703"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Suficiente (51–80)</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63EE085F"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Destacado (81–100)</w:t>
            </w:r>
          </w:p>
        </w:tc>
      </w:tr>
      <w:tr w:rsidR="00EE70B8" w14:paraId="018A21A3"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25857766"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0C425B0D"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Encaje legal en efectivo y en títulos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68ABB0C7"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El cálculo del encaje legal</w:t>
            </w:r>
            <w:proofErr w:type="spellStart"/>
            <w:proofErr w:type="spellEnd"/>
            <w:r w:rsidRPr="00C15354">
              <w:rPr>
                <w:rFonts w:ascii="Century Gothic" w:hAnsi="Century Gothic" w:cs="Century Gothic" w:eastAsia="Century Gothic"/>
                <w:sz w:val="18"/>
                <w:szCs w:val="18"/>
              </w:rPr>
              <w:t xml:space="preserve"> requerido y constituido en efectivo y en títulos es incorrecto o está incompleto.</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1DA99ED5"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el encaje legal requerido y constituido en efectivo y en títulos con diferencias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0F3F115F"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el encaje legal requerido y constituido en efectivo y en títulos con exactitud y explica el procedimiento.</w:t>
            </w:r>
          </w:p>
        </w:tc>
      </w:tr>
      <w:tr w:rsidR="00EE70B8" w14:paraId="0773D8B6"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2B391F91"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497CBDBE"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Excedente, deficiencia y multa</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5187EC9D"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El cálculo del excedente</w:t>
            </w:r>
            <w:proofErr w:type="spellStart"/>
            <w:proofErr w:type="spellEnd"/>
            <w:r w:rsidRPr="00C15354">
              <w:rPr>
                <w:rFonts w:ascii="Century Gothic" w:hAnsi="Century Gothic" w:cs="Century Gothic" w:eastAsia="Century Gothic"/>
                <w:sz w:val="18"/>
                <w:szCs w:val="18"/>
              </w:rPr>
              <w:t xml:space="preserve"> o la deficiencia de encaje y la multa correspondiente es incorrecto o está incompleto.</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668D293C"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el excedente o la deficiencia de encaje y la multa correspondiente con diferencias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5073D9B5"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el excedente o la deficiencia de encaje y la multa correspondiente con exactitud y explica el procedimiento.</w:t>
            </w:r>
          </w:p>
        </w:tc>
      </w:tr>
      <w:tr w:rsidR="00EE70B8" w14:paraId="19580661"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024D7D70"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71D1D174"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Fondo RAL y presentación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195D4FF3"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No calcula el Fondo RAL o presenta el cálculo con errores graves.</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2BD0CA9C"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el Fondo RAL con errores menores y presenta el caso de forma ordenada.</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03F99865"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el Fondo RAL correctamente y presenta el caso de forma clara y completa.</w:t>
            </w:r>
          </w:p>
        </w:tc>
      </w:tr>
      <w:tr w:rsidR="00EE70B8" w14:paraId="7073AE6D"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60F966BE"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6260"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5AE76701" w14:textId="77777777" w:rsidR="00EE70B8" w:rsidRPr="00C15354" w:rsidRDefault="00C15354">
            <w:pPr>
              <w:spacing w:before="20" w:after="20" w:line="240" w:lineRule="auto"/>
              <w:jc w:val="center"/>
              <w:rPr>
                <w:rFonts w:ascii="Century Gothic" w:hAnsi="Century Gothic" w:cs="Century Gothic" w:eastAsia="Century Gothic"/>
                <w:sz w:val="18"/>
                <w:szCs w:val="18"/>
              </w:rPr>
            </w:pPr>
            <w:r w:rsidRPr="00C15354">
              <w:rPr>
                <w:rFonts w:ascii="Century Gothic" w:hAnsi="Century Gothic" w:cs="Century Gothic" w:eastAsia="Century Gothic"/>
                <w:b/>
                <w:bCs/>
                <w:i/>
                <w:iCs/>
                <w:sz w:val="18"/>
                <w:szCs w:val="18"/>
              </w:rPr>
              <w:t xml:space="preserve">Producto 9: </w:t>
            </w:r>
            <w:r w:rsidRPr="00C15354">
              <w:rPr>
                <w:rFonts w:ascii="Century Gothic" w:hAnsi="Century Gothic" w:cs="Century Gothic" w:eastAsia="Century Gothic"/>
                <w:sz w:val="18"/>
                <w:szCs w:val="18"/>
              </w:rPr>
              <w:t>Ejercicio integral de las operaciones de la cartera vigente de una entidad financiera, con su exposición en los estados financieros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7A678559"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color w:val="FFFFFF"/>
                <w:sz w:val="18"/>
                <w:szCs w:val="18"/>
              </w:rPr>
              <w:t>Peso: 10%</w:t>
            </w:r>
          </w:p>
        </w:tc>
      </w:tr>
      <w:tr w:rsidR="00EE70B8" w14:paraId="5FE6F41C"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20F7789F"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50DB2A53"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02F3A5B2"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Insuficiente (1–50)</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58285496"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Suficiente (51–80)</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1E41DDCE"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Destacado (81–100)</w:t>
            </w:r>
          </w:p>
        </w:tc>
      </w:tr>
      <w:tr w:rsidR="00EE70B8" w14:paraId="6FF3E641"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3A2FD2EE"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57BBB87F"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Desembolso y recuperación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57A1B747"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Omite operaciones o registra incorrectamente el desembolso, el cobro de cuotas y la recuperación de los créditos vigentes.</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72010225"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el desembolso, el cobro de cuotas y la recuperación de los créditos vigentes con errores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2BBC401A"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el desembolso, el cobro de cuotas y la recuperación de los créditos vigentes correctamente, con asientos y respaldos completos.</w:t>
            </w:r>
          </w:p>
        </w:tc>
      </w:tr>
      <w:tr w:rsidR="00EE70B8" w14:paraId="1538E311"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7AD55062"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6479BAB5"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Devengamiento de intereses y previsión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2CFC9C61"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El cálculo de los intereses devengados y la previsión de la cartera vigente es incorrecto o está incompleto.</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7207FAEB"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los intereses devengados y la previsión de la cartera vigente con diferencias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73206BA"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los intereses devengados y la previsión de la cartera vigente con exactitud y explica el procedimiento.</w:t>
            </w:r>
          </w:p>
        </w:tc>
      </w:tr>
      <w:tr w:rsidR="00EE70B8" w14:paraId="7D40688A"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426BC051"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ABDC5A8"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Exposición en los estados financieros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1D549CE5"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No expone las operaciones o las expone con errores graves.</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5213AF05"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las operaciones en los estados financieros con errores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582E24A3"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todas las operaciones correctamente, con saldos que cuadran.</w:t>
            </w:r>
          </w:p>
        </w:tc>
      </w:tr>
      <w:tr w:rsidR="00EE70B8" w14:paraId="04E5897B"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2AF7627B"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6260"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6F89D555" w14:textId="77777777" w:rsidR="00EE70B8" w:rsidRPr="00C15354" w:rsidRDefault="00C15354">
            <w:pPr>
              <w:spacing w:before="20" w:after="20" w:line="240" w:lineRule="auto"/>
              <w:jc w:val="center"/>
              <w:rPr>
                <w:rFonts w:ascii="Century Gothic" w:hAnsi="Century Gothic" w:cs="Century Gothic" w:eastAsia="Century Gothic"/>
                <w:sz w:val="18"/>
                <w:szCs w:val="18"/>
              </w:rPr>
            </w:pPr>
            <w:r w:rsidRPr="00C15354">
              <w:rPr>
                <w:rFonts w:ascii="Century Gothic" w:hAnsi="Century Gothic" w:cs="Century Gothic" w:eastAsia="Century Gothic"/>
                <w:b/>
                <w:bCs/>
                <w:i/>
                <w:iCs/>
                <w:sz w:val="18"/>
                <w:szCs w:val="18"/>
              </w:rPr>
              <w:t xml:space="preserve">Producto 10: </w:t>
            </w:r>
            <w:r w:rsidRPr="00C15354">
              <w:rPr>
                <w:rFonts w:ascii="Century Gothic" w:hAnsi="Century Gothic" w:cs="Century Gothic" w:eastAsia="Century Gothic"/>
                <w:sz w:val="18"/>
                <w:szCs w:val="18"/>
              </w:rPr>
              <w:t>Ejercicio integral de las operaciones de la cartera vencida, con el cálculo de los intereses vencidos y penales y su exposición en los estados financieros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15CA171E"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color w:val="FFFFFF"/>
                <w:sz w:val="18"/>
                <w:szCs w:val="18"/>
              </w:rPr>
              <w:t>Peso: 10%</w:t>
            </w:r>
          </w:p>
        </w:tc>
      </w:tr>
      <w:tr w:rsidR="00EE70B8" w14:paraId="1F111EDE"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74D7F445"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1BC2EAF0"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1FBBB402"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Insuficiente (1–50)</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7EF57AC1"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Suficiente (51–80)</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2A7329A3"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Destacado (81–100)</w:t>
            </w:r>
          </w:p>
        </w:tc>
      </w:tr>
      <w:tr w:rsidR="00EE70B8" w14:paraId="1899EAA2"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6ED9FD84"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BDFAD1C"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Traspaso y registro de la cartera vencida</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0F00E444"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Omite operaciones o registra incorrectamente el traspaso y las operaciones de la cartera vencida.</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041B70E"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el traspaso y las operaciones de la cartera vencida con errores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64187052"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el traspaso y las operaciones de la cartera vencida correctamente, con asientos y respaldos completos.</w:t>
            </w:r>
          </w:p>
        </w:tc>
      </w:tr>
      <w:tr w:rsidR="00EE70B8" w14:paraId="697AD98E"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63CB1175"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00698FB9"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Intereses vencidos y penales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6CBB53FE"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El cálculo de los intereses vencidos y los intereses penales es incorrecto o está incompleto.</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6992226C"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los intereses vencidos y los intereses penales con diferencias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263F67B9"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los intereses vencidos y los intereses penales con exactitud y explica el procedimiento.</w:t>
            </w:r>
          </w:p>
        </w:tc>
      </w:tr>
      <w:tr w:rsidR="00EE70B8" w14:paraId="3D487617"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28F90304"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73F56F8A"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Exposición en los estados financieros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29C4FF17"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No expone las operaciones o las expone con errores graves.</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057AD5DF"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las operaciones en los estados financieros con errores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546B8E8C"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todas las operaciones correctamente, con saldos que cuadran.</w:t>
            </w:r>
          </w:p>
        </w:tc>
      </w:tr>
      <w:tr w:rsidR="00EE70B8" w14:paraId="32C14FEC"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1FE7130B"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6260"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7ED259CB" w14:textId="77777777" w:rsidR="00EE70B8" w:rsidRPr="00C15354" w:rsidRDefault="00C15354">
            <w:pPr>
              <w:spacing w:before="20" w:after="20" w:line="240" w:lineRule="auto"/>
              <w:jc w:val="center"/>
              <w:rPr>
                <w:rFonts w:ascii="Century Gothic" w:hAnsi="Century Gothic" w:cs="Century Gothic" w:eastAsia="Century Gothic"/>
                <w:sz w:val="18"/>
                <w:szCs w:val="18"/>
              </w:rPr>
            </w:pPr>
            <w:r w:rsidRPr="00C15354">
              <w:rPr>
                <w:rFonts w:ascii="Century Gothic" w:hAnsi="Century Gothic" w:cs="Century Gothic" w:eastAsia="Century Gothic"/>
                <w:b/>
                <w:bCs/>
                <w:i/>
                <w:iCs/>
                <w:sz w:val="18"/>
                <w:szCs w:val="18"/>
              </w:rPr>
              <w:t xml:space="preserve">Producto 11: </w:t>
            </w:r>
            <w:r w:rsidRPr="00C15354">
              <w:rPr>
                <w:rFonts w:ascii="Century Gothic" w:hAnsi="Century Gothic" w:cs="Century Gothic" w:eastAsia="Century Gothic"/>
                <w:sz w:val="18"/>
                <w:szCs w:val="18"/>
              </w:rPr>
              <w:t>Tratamiento contable de los créditos con recursos de entidades financieras, con su exposición en los estados financieros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66CBC7EA"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color w:val="FFFFFF"/>
                <w:sz w:val="18"/>
                <w:szCs w:val="18"/>
              </w:rPr>
              <w:t>Peso: 7%</w:t>
            </w:r>
          </w:p>
        </w:tc>
      </w:tr>
      <w:tr w:rsidR="00EE70B8" w14:paraId="5263D030"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3D23EA80"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25E7FB35"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4F9CD767"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Insuficiente (1–50)</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4F005845"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Suficiente (51–80)</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5B471E57"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Destacado (81–100)</w:t>
            </w:r>
          </w:p>
        </w:tc>
      </w:tr>
      <w:tr w:rsidR="00EE70B8" w14:paraId="6D539601"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5A36A072"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7CB61B8A"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Obligación y desembolso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714B6D13"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Omite operaciones o registra incorrectamente la obligación y el desembolso del crédito con recursos de segundo piso.</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75A45A20"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la obligación y el desembolso del crédito con recursos de segundo piso con errores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D2270F1"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la obligación y el desembolso del crédito con recursos de segundo piso correctamente, con asientos y respaldos completos.</w:t>
            </w:r>
          </w:p>
        </w:tc>
      </w:tr>
      <w:tr w:rsidR="00EE70B8" w14:paraId="7A6A0BC8"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3AAE9701"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56E3D7E8"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Devengamiento y cancelación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7DDEB140"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El cálculo de los intereses devengados y la cancelación de la obligación es incorrecto o está incompleto.</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6342D983"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los intereses devengados y la cancelación de la obligación con diferencias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169F5AC6"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los intereses devengados y la cancelación de la obligación con exactitud y explica el procedimiento.</w:t>
            </w:r>
          </w:p>
        </w:tc>
      </w:tr>
      <w:tr w:rsidR="00EE70B8" w14:paraId="0D749AF9"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5152FE27"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77ECF9CD"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Exposición en los estados financieros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5938334B"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No expone las operaciones o las expone con errores graves.</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5C14ADF8"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las operaciones en los estados financieros con errores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2062E840"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todas las operaciones correctamente, con saldos que cuadran.</w:t>
            </w:r>
          </w:p>
        </w:tc>
      </w:tr>
      <w:tr w:rsidR="00EE70B8" w14:paraId="00E5794B"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4D69ED04"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6260"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73B692E2" w14:textId="77777777" w:rsidR="00EE70B8" w:rsidRPr="00C15354" w:rsidRDefault="00C15354">
            <w:pPr>
              <w:spacing w:before="20" w:after="20" w:line="240" w:lineRule="auto"/>
              <w:jc w:val="center"/>
              <w:rPr>
                <w:rFonts w:ascii="Century Gothic" w:hAnsi="Century Gothic" w:cs="Century Gothic" w:eastAsia="Century Gothic"/>
                <w:sz w:val="18"/>
                <w:szCs w:val="18"/>
              </w:rPr>
            </w:pPr>
            <w:r w:rsidRPr="00C15354">
              <w:rPr>
                <w:rFonts w:ascii="Century Gothic" w:hAnsi="Century Gothic" w:cs="Century Gothic" w:eastAsia="Century Gothic"/>
                <w:b/>
                <w:bCs/>
                <w:i/>
                <w:iCs/>
                <w:sz w:val="18"/>
                <w:szCs w:val="18"/>
              </w:rPr>
              <w:t xml:space="preserve">Producto 12: </w:t>
            </w:r>
            <w:r w:rsidRPr="00C15354">
              <w:rPr>
                <w:rFonts w:ascii="Century Gothic" w:hAnsi="Century Gothic" w:cs="Century Gothic" w:eastAsia="Century Gothic"/>
                <w:sz w:val="18"/>
                <w:szCs w:val="18"/>
              </w:rPr>
              <w:t>Tratamiento contable de la cartera en ejecución y de su recuperación mediante la adjudicación de bienes, con su exposición en los estados financieros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3E2DDF8A"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color w:val="FFFFFF"/>
                <w:sz w:val="18"/>
                <w:szCs w:val="18"/>
              </w:rPr>
              <w:t>Peso: 8%</w:t>
            </w:r>
          </w:p>
        </w:tc>
      </w:tr>
      <w:tr w:rsidR="00EE70B8" w14:paraId="6A985589"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7E6AE2A5"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6585E12E"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5C1C9639"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Insuficiente (1–50)</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4FBBF3DB"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Suficiente (51–80)</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7886E8A7"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Destacado (81–100)</w:t>
            </w:r>
          </w:p>
        </w:tc>
      </w:tr>
      <w:tr w:rsidR="00EE70B8" w14:paraId="53725A40"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7116672C"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0380ED3D"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Cartera en ejecución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0419E028"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Omite operaciones o registra incorrectamente el traspaso, la previsión y la recuperación de la cartera en ejecución.</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6FB90B56"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el traspaso, la previsión y la recuperación de la cartera en ejecución con errores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28F4D3E9"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el traspaso, la previsión y la recuperación de la cartera en ejecución correctamente, con asientos y respaldos completos.</w:t>
            </w:r>
          </w:p>
        </w:tc>
      </w:tr>
      <w:tr w:rsidR="00EE70B8" w14:paraId="5C1BA3D4"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64FD2376"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5E465A61"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Adjudicación de bienes por vía legal</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4C062663"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Omite operaciones o registra incorrectamente la adjudicación de bienes, su previsión y su enajenación.</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22FB7411"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la adjudicación de bienes, su previsión y su enajenación con errores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23A06A52"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la adjudicación de bienes, su previsión y su enajenación correctamente, con asientos y respaldos completos.</w:t>
            </w:r>
          </w:p>
        </w:tc>
      </w:tr>
      <w:tr w:rsidR="00EE70B8" w14:paraId="6FCEE134"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2B68E644"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725687E8"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Exposición en los estados financieros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7CA8BAE0"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No expone las operaciones o las expone con errores graves.</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70161D48"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las operaciones en los estados financieros con errores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1B6E4161"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todas las operaciones correctamente, con saldos que cuadran.</w:t>
            </w:r>
          </w:p>
        </w:tc>
      </w:tr>
      <w:tr w:rsidR="00EE70B8" w14:paraId="4F9082BA"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6EA28638"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6260"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6C03F5C5" w14:textId="77777777" w:rsidR="00EE70B8" w:rsidRPr="00C15354" w:rsidRDefault="00C15354">
            <w:pPr>
              <w:spacing w:before="20" w:after="20" w:line="240" w:lineRule="auto"/>
              <w:jc w:val="center"/>
              <w:rPr>
                <w:rFonts w:ascii="Century Gothic" w:hAnsi="Century Gothic" w:cs="Century Gothic" w:eastAsia="Century Gothic"/>
                <w:sz w:val="18"/>
                <w:szCs w:val="18"/>
              </w:rPr>
            </w:pPr>
            <w:r w:rsidRPr="00C15354">
              <w:rPr>
                <w:rFonts w:ascii="Century Gothic" w:hAnsi="Century Gothic" w:cs="Century Gothic" w:eastAsia="Century Gothic"/>
                <w:b/>
                <w:bCs/>
                <w:i/>
                <w:iCs/>
                <w:sz w:val="18"/>
                <w:szCs w:val="18"/>
              </w:rPr>
              <w:t xml:space="preserve">Producto 13: </w:t>
            </w:r>
            <w:r w:rsidRPr="00C15354">
              <w:rPr>
                <w:rFonts w:ascii="Century Gothic" w:hAnsi="Century Gothic" w:cs="Century Gothic" w:eastAsia="Century Gothic"/>
                <w:sz w:val="18"/>
                <w:szCs w:val="18"/>
              </w:rPr>
              <w:t>Cuadro de clasificación de los instrumentos financieros de renta fija y de renta variable</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6EF88844"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color w:val="FFFFFF"/>
                <w:sz w:val="18"/>
                <w:szCs w:val="18"/>
              </w:rPr>
              <w:t>Peso: 2%</w:t>
            </w:r>
          </w:p>
        </w:tc>
      </w:tr>
      <w:tr w:rsidR="00EE70B8" w14:paraId="3CB72C92"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75F3F44E"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2AF05344"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60B72627"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Insuficiente (1–50)</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6D3F86D3"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Suficiente (51–80)</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392432A1"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Destacado (81–100)</w:t>
            </w:r>
          </w:p>
        </w:tc>
      </w:tr>
      <w:tr w:rsidR="00EE70B8" w14:paraId="19C86571"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5A35ADF6"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585F96CC"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Clasificación de los instrumentos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6629078B"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los instrumentos de renta fija y de renta variable de forma incompleta o con errores conceptuales.</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4F134DDD"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los instrumentos de renta fija y de renta variable con las ideas principales y errores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29F067B"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los instrumentos de renta fija y de renta variable de forma completa, precisa y con sustento normativo.</w:t>
            </w:r>
          </w:p>
        </w:tc>
      </w:tr>
      <w:tr w:rsidR="00EE70B8" w14:paraId="4DD937FC"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37E861D7"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68FE3B03"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Activos y pasivos financieros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7C2ACDFC"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los conceptos de activo financiero y de pasivo financiero de forma incompleta o con errores conceptuales.</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112D2BF8"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los conceptos de activo financiero y de pasivo financiero con las ideas principales y errores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0CFC8078"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los conceptos de activo financiero y de pasivo financiero de forma completa, precisa y con sustento normativo.</w:t>
            </w:r>
          </w:p>
        </w:tc>
      </w:tr>
      <w:tr w:rsidR="00EE70B8" w14:paraId="3F469362"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2145A7D3"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08440500"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Claridad y presentación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4807F15"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Presentación desordenada o con errores ortográficos frecuentes.</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4098174E"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Presentación ordenada y comprensible, con omisiones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25C2DA89"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Presentación clara, jerárquica y sin errores ortográficos.</w:t>
            </w:r>
          </w:p>
        </w:tc>
      </w:tr>
      <w:tr w:rsidR="00EE70B8" w14:paraId="7BF40EF3"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1190F9BC"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6260"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01C960B1" w14:textId="77777777" w:rsidR="00EE70B8" w:rsidRPr="00C15354" w:rsidRDefault="00C15354">
            <w:pPr>
              <w:spacing w:before="20" w:after="20" w:line="240" w:lineRule="auto"/>
              <w:jc w:val="center"/>
              <w:rPr>
                <w:rFonts w:ascii="Century Gothic" w:hAnsi="Century Gothic" w:cs="Century Gothic" w:eastAsia="Century Gothic"/>
                <w:sz w:val="18"/>
                <w:szCs w:val="18"/>
              </w:rPr>
            </w:pPr>
            <w:r w:rsidRPr="00C15354">
              <w:rPr>
                <w:rFonts w:ascii="Century Gothic" w:hAnsi="Century Gothic" w:cs="Century Gothic" w:eastAsia="Century Gothic"/>
                <w:b/>
                <w:bCs/>
                <w:i/>
                <w:iCs/>
                <w:sz w:val="18"/>
                <w:szCs w:val="18"/>
              </w:rPr>
              <w:t xml:space="preserve">Producto 14: </w:t>
            </w:r>
            <w:r w:rsidRPr="00C15354">
              <w:rPr>
                <w:rFonts w:ascii="Century Gothic" w:hAnsi="Century Gothic" w:cs="Century Gothic" w:eastAsia="Century Gothic"/>
                <w:sz w:val="18"/>
                <w:szCs w:val="18"/>
              </w:rPr>
              <w:t>Esquema del mercado de valores boliviano con los agentes de bolsa, las SAFI y los tipos de fondos de inversión</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258F0D0A"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color w:val="FFFFFF"/>
                <w:sz w:val="18"/>
                <w:szCs w:val="18"/>
              </w:rPr>
              <w:t>Peso: 2%</w:t>
            </w:r>
          </w:p>
        </w:tc>
      </w:tr>
      <w:tr w:rsidR="00EE70B8" w14:paraId="619FA9B0"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5CEE7AB5"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43E66A77"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798F229B"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Insuficiente (1–50)</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032F8A2D"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Suficiente (51–80)</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51D4892F"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Destacado (81–100)</w:t>
            </w:r>
          </w:p>
        </w:tc>
      </w:tr>
      <w:tr w:rsidR="00EE70B8" w14:paraId="0E6EBBEA"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453DBF12"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6CD7F239"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Organización del mercado de valores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37468FF"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los participantes del mercado de valores boliviano de forma incompleta o con errores conceptuales.</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13ECD4E2"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los participantes del mercado de valores boliviano con las ideas principales y errores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7FAF9832"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los participantes del mercado de valores boliviano de forma completa, precisa y con sustento normativo.</w:t>
            </w:r>
          </w:p>
        </w:tc>
      </w:tr>
      <w:tr w:rsidR="00EE70B8" w14:paraId="0C0B05C4"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492BBC53"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2DE49E76"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Agentes de bolsa y SAFI</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69FD455"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la función de los agentes de bolsa, de las SAFI y de los tipos de fondos de forma incompleta o con errores conceptuales.</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2CA194F3"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la función de los agentes de bolsa, de las SAFI y de los tipos de fondos con las ideas principales y errores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4DDC0079"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la función de los agentes de bolsa, de las SAFI y de los tipos de fondos de forma completa, precisa y con sustento normativo.</w:t>
            </w:r>
          </w:p>
        </w:tc>
      </w:tr>
      <w:tr w:rsidR="00EE70B8" w14:paraId="183F33B7"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1DE8E195"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0A22DF82"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Claridad y presentación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76E5318D"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Presentación desordenada o con errores ortográficos frecuentes.</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51AAD852"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Presentación ordenada y comprensible, con omisiones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2239A36C"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Presentación clara, jerárquica y sin errores ortográficos.</w:t>
            </w:r>
          </w:p>
        </w:tc>
      </w:tr>
      <w:tr w:rsidR="00EE70B8" w14:paraId="6CF47353"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4BAF9FEA"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6260"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2B96A2D5" w14:textId="77777777" w:rsidR="00EE70B8" w:rsidRPr="00C15354" w:rsidRDefault="00C15354">
            <w:pPr>
              <w:spacing w:before="20" w:after="20" w:line="240" w:lineRule="auto"/>
              <w:jc w:val="center"/>
              <w:rPr>
                <w:rFonts w:ascii="Century Gothic" w:hAnsi="Century Gothic" w:cs="Century Gothic" w:eastAsia="Century Gothic"/>
                <w:sz w:val="18"/>
                <w:szCs w:val="18"/>
              </w:rPr>
            </w:pPr>
            <w:r w:rsidRPr="00C15354">
              <w:rPr>
                <w:rFonts w:ascii="Century Gothic" w:hAnsi="Century Gothic" w:cs="Century Gothic" w:eastAsia="Century Gothic"/>
                <w:b/>
                <w:bCs/>
                <w:i/>
                <w:iCs/>
                <w:sz w:val="18"/>
                <w:szCs w:val="18"/>
              </w:rPr>
              <w:t xml:space="preserve">Producto 15: </w:t>
            </w:r>
            <w:r w:rsidRPr="00C15354">
              <w:rPr>
                <w:rFonts w:ascii="Century Gothic" w:hAnsi="Century Gothic" w:cs="Century Gothic" w:eastAsia="Century Gothic"/>
                <w:sz w:val="18"/>
                <w:szCs w:val="18"/>
              </w:rPr>
              <w:t>Esquema de las entidades auxiliares financieras y de las empresas de tecnología financiera, con sus principales operaciones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4CF1A284"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color w:val="FFFFFF"/>
                <w:sz w:val="18"/>
                <w:szCs w:val="18"/>
              </w:rPr>
              <w:t>Peso: 2%</w:t>
            </w:r>
          </w:p>
        </w:tc>
      </w:tr>
      <w:tr w:rsidR="00EE70B8" w14:paraId="3E836530"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78F91B07"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078EE0B2"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0F4EB79A"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Insuficiente (1–50)</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59E6457E"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Suficiente (51–80)</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7204D59A"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Destacado (81–100)</w:t>
            </w:r>
          </w:p>
        </w:tc>
      </w:tr>
      <w:tr w:rsidR="00EE70B8" w14:paraId="631EFDDE"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51CDC02C"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5D523ABD"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Tipos de entidades auxiliares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6A44DEF"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las entidades auxiliares financieras y las empresas de tecnología financiera de forma incompleta o con errores conceptuales.</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584EAB88"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las entidades auxiliares financieras y las empresas de tecnología financiera con las ideas principales y errores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5D1754D9"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las entidades auxiliares financieras y las empresas de tecnología financiera de forma completa, precisa y con sustento normativo.</w:t>
            </w:r>
          </w:p>
        </w:tc>
      </w:tr>
      <w:tr w:rsidR="00EE70B8" w14:paraId="4BD122DA"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36FE2336"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4E99A83B"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Operaciones y constitución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77D7C290"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las principales operaciones y la constitución de estas entidades de forma incompleta o con errores conceptuales.</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2B4FF411"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las principales operaciones y la constitución de estas entidades con las ideas principales y errores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52FD6E"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las principales operaciones y la constitución de estas entidades de forma completa, precisa y con sustento normativo.</w:t>
            </w:r>
          </w:p>
        </w:tc>
      </w:tr>
      <w:tr w:rsidR="00EE70B8" w14:paraId="3D8DC0A7"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3132E062"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07D6EB9E"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Claridad y presentación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5B19C1F9"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Presentación desordenada o con errores ortográficos frecuentes.</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0633426E"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Presentación ordenada y comprensible, con omisiones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778828AF"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Presentación clara, jerárquica y sin errores ortográficos.</w:t>
            </w:r>
          </w:p>
        </w:tc>
      </w:tr>
      <w:tr w:rsidR="00EE70B8" w14:paraId="4AFA0BA1"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0224A2E9"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6260"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528A68C2" w14:textId="77777777" w:rsidR="00EE70B8" w:rsidRPr="00C15354" w:rsidRDefault="00C15354">
            <w:pPr>
              <w:spacing w:before="20" w:after="20" w:line="240" w:lineRule="auto"/>
              <w:jc w:val="center"/>
              <w:rPr>
                <w:rFonts w:ascii="Century Gothic" w:hAnsi="Century Gothic" w:cs="Century Gothic" w:eastAsia="Century Gothic"/>
                <w:sz w:val="18"/>
                <w:szCs w:val="18"/>
              </w:rPr>
            </w:pPr>
            <w:r w:rsidRPr="00C15354">
              <w:rPr>
                <w:rFonts w:ascii="Century Gothic" w:hAnsi="Century Gothic" w:cs="Century Gothic" w:eastAsia="Century Gothic"/>
                <w:b/>
                <w:bCs/>
                <w:i/>
                <w:iCs/>
                <w:sz w:val="18"/>
                <w:szCs w:val="18"/>
              </w:rPr>
              <w:t xml:space="preserve">Producto 16: </w:t>
            </w:r>
            <w:r w:rsidRPr="00C15354">
              <w:rPr>
                <w:rFonts w:ascii="Century Gothic" w:hAnsi="Century Gothic" w:cs="Century Gothic" w:eastAsia="Century Gothic"/>
                <w:sz w:val="18"/>
                <w:szCs w:val="18"/>
              </w:rPr>
              <w:t>Caso práctico de leasing con su registro contable básico y cuadro comparativo frente al crédito bancario</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22E1C973"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color w:val="FFFFFF"/>
                <w:sz w:val="18"/>
                <w:szCs w:val="18"/>
              </w:rPr>
              <w:t>Peso: 4%</w:t>
            </w:r>
          </w:p>
        </w:tc>
      </w:tr>
      <w:tr w:rsidR="00EE70B8" w14:paraId="4B0C32FC"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759D0AEF"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24B95ECC"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76768834"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Insuficiente (1–50)</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3C5439C3"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Suficiente (51–80)</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0638C5E2"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Destacado (81–100)</w:t>
            </w:r>
          </w:p>
        </w:tc>
      </w:tr>
      <w:tr w:rsidR="00EE70B8" w14:paraId="0DBF0A9A"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2E0CDD1E"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E8B8D22"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Cálculo de la cuota</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0AB224E6"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El cálculo de la cuota del contrato de leasing es incorrecto o está incompleto.</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6F3E5355"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la cuota del contrato de leasing con diferencias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450FE488"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la cuota del contrato de leasing con exactitud y explica el procedimiento.</w:t>
            </w:r>
          </w:p>
        </w:tc>
      </w:tr>
      <w:tr w:rsidR="00EE70B8" w14:paraId="13DF7C07"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75067D93"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150C631F"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Registro contable básico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17435356"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Omite operaciones o registra incorrectamente las operaciones del contrato de leasing.</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0CE0D121"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las operaciones del contrato de leasing con errores menores.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27C38C06"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las operaciones del contrato de leasing correctamente, con asientos y respaldos completos.</w:t>
            </w:r>
          </w:p>
        </w:tc>
      </w:tr>
      <w:tr w:rsidR="00EE70B8" w14:paraId="11027330"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7FA5D4B5"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17DE1E7D"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Comparación con el crédito bancario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F446944"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La comparación es incompleta o contiene errores conceptuales.</w:t>
            </w:r>
          </w:p>
        </w:tc>
        <w:tc>
          <w:tcPr>
            <w:tcW w:w="1962"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E8736F6"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Compara el leasing con el crédito bancario con diferencias y ventajas principales.</w:t>
            </w:r>
          </w:p>
        </w:tc>
        <w:tc>
          <w:tcPr>
            <w:tcW w:w="1952"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64544C5D"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Compara con precisión, incluye ventajas y desventajas y concluye con fundamento.</w:t>
            </w:r>
          </w:p>
        </w:tc>
      </w:tr>
      <w:tr w:rsidR="00EE70B8" w14:paraId="2DE4EC1D" w14:textId="77777777">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14:paraId="2609C564"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6260" w:type="dxa"/>
            <w:gridSpan w:val="13"/>
            <w:tcBorders>
              <w:top w:val="single" w:sz="6" w:space="0" w:color="1F3864"/>
              <w:left w:val="single" w:sz="6" w:space="0" w:color="1F3864"/>
              <w:bottom w:val="single" w:sz="6" w:space="0" w:color="1F3864"/>
              <w:right w:val="single" w:sz="6" w:space="0" w:color="1F3864"/>
            </w:tcBorders>
            <w:shd w:val="clear" w:color="auto" w:fill="4472C4"/>
            <w:vAlign w:val="center"/>
          </w:tcPr>
          <w:p w14:paraId="5FE655B5"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TOTAL</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2272EC6E"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100%</w:t>
            </w:r>
          </w:p>
        </w:tc>
      </w:tr>
    </w:tbl>
    <w:p>
      <w:pPr>
        <w:spacing w:before="0" w:after="0" w:line="240" w:lineRule="auto"/>
        <w:rPr>
          <w:sz w:val="18"/>
          <w:szCs w:val="18"/>
        </w:rPr>
      </w:pPr>
    </w:p>
    <w:tbl>
      <w:tblPr>
        <w:tblW w:w="9405" w:type="dxa"/>
        <w:jc w:val="center"/>
        <w:tblBorders>
          <w:top w:val="single" w:sz="6" w:space="0" w:color="1F3864"/>
          <w:left w:val="single" w:sz="6" w:space="0" w:color="1F3864"/>
          <w:bottom w:val="single" w:sz="6" w:space="0" w:color="1F3864"/>
          <w:right w:val="single" w:sz="6" w:space="0" w:color="1F3864"/>
          <w:insideH w:val="single" w:sz="6" w:space="0" w:color="1F3864"/>
          <w:insideV w:val="single" w:sz="6" w:space="0" w:color="1F3864"/>
        </w:tblBorders>
        <w:tblLayout w:type="fixed"/>
        <w:tblCellMar>
          <w:top w:w="40" w:type="dxa"/>
          <w:left w:w="90" w:type="dxa"/>
          <w:bottom w:w="40" w:type="dxa"/>
          <w:right w:w="90" w:type="dxa"/>
        </w:tblCellMar>
        <w:tblLook w:val="0400" w:firstRow="0" w:lastRow="0" w:firstColumn="0" w:lastColumn="0" w:noHBand="0" w:noVBand="1"/>
      </w:tblPr>
      <w:tblGrid>
        <w:gridCol w:w="1175"/>
        <w:gridCol w:w="391"/>
        <w:gridCol w:w="391"/>
        <w:gridCol w:w="391"/>
        <w:gridCol w:w="783"/>
        <w:gridCol w:w="391"/>
        <w:gridCol w:w="391"/>
        <w:gridCol w:w="783"/>
        <w:gridCol w:w="783"/>
        <w:gridCol w:w="391"/>
        <w:gridCol w:w="391"/>
        <w:gridCol w:w="391"/>
        <w:gridCol w:w="391"/>
        <w:gridCol w:w="398"/>
        <w:gridCol w:w="385"/>
        <w:gridCol w:w="1567"/>
      </w:tblGrid>
      <w:tr w:rsidR="00EE70B8" w14:paraId="7FEDE561" w14:textId="77777777">
        <w:tc>
          <w:tcPr>
            <w:tcW w:w="9393" w:type="dxa"/>
            <w:gridSpan w:val="16"/>
            <w:tcBorders>
              <w:top w:val="single" w:sz="6" w:space="0" w:color="1F3864"/>
              <w:left w:val="single" w:sz="6" w:space="0" w:color="1F3864"/>
              <w:bottom w:val="single" w:sz="6" w:space="0" w:color="1F3864"/>
              <w:right w:val="single" w:sz="6" w:space="0" w:color="1F3864"/>
            </w:tcBorders>
            <w:shd w:val="clear" w:color="auto" w:fill="D9E2F3"/>
          </w:tcPr>
          <w:p w14:paraId="4242D832"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b/>
                <w:bCs/>
                <w:i/>
                <w:iCs/>
                <w:sz w:val="18"/>
                <w:szCs w:val="18"/>
              </w:rPr>
              <w:t>Bibliografía básica:</w:t>
            </w:r>
          </w:p>
          <w:p w14:paraId="196CD0D4"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Autoridad de Supervisión del Sistema Financiero, ASFI (s.f.). </w:t>
            </w:r>
            <w:r w:rsidRPr="00C15354">
              <w:rPr>
                <w:rFonts w:ascii="Century Gothic" w:hAnsi="Century Gothic" w:cs="Century Gothic" w:eastAsia="Century Gothic"/>
                <w:i/>
                <w:iCs/>
                <w:sz w:val="18"/>
                <w:szCs w:val="18"/>
              </w:rPr>
              <w:t>Manual de Cuentas para Entidades Financieras</w:t>
            </w:r>
            <w:r w:rsidRPr="00C15354">
              <w:rPr>
                <w:rFonts w:ascii="Century Gothic" w:hAnsi="Century Gothic" w:cs="Century Gothic" w:eastAsia="Century Gothic"/>
                <w:sz w:val="18"/>
                <w:szCs w:val="18"/>
              </w:rPr>
              <w:t>. La Paz – Bolivia.</w:t>
            </w:r>
          </w:p>
          <w:p w14:paraId="7E94269C"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Autoridad de Supervisión del Sistema Financiero, ASFI (s.f.). </w:t>
            </w:r>
            <w:r w:rsidRPr="00C15354">
              <w:rPr>
                <w:rFonts w:ascii="Century Gothic" w:hAnsi="Century Gothic" w:cs="Century Gothic" w:eastAsia="Century Gothic"/>
                <w:i/>
                <w:iCs/>
                <w:sz w:val="18"/>
                <w:szCs w:val="18"/>
              </w:rPr>
              <w:t>Recopilación de Normas para Servicios Financieros</w:t>
            </w:r>
            <w:r w:rsidRPr="00C15354">
              <w:rPr>
                <w:rFonts w:ascii="Century Gothic" w:hAnsi="Century Gothic" w:cs="Century Gothic" w:eastAsia="Century Gothic"/>
                <w:sz w:val="18"/>
                <w:szCs w:val="18"/>
              </w:rPr>
              <w:t>. La Paz – Bolivia.</w:t>
            </w:r>
          </w:p>
          <w:p w14:paraId="149A2776"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Autoridad de Supervisión del Sistema Financiero, ASFI (s.f.). </w:t>
            </w:r>
            <w:r w:rsidRPr="00C15354">
              <w:rPr>
                <w:rFonts w:ascii="Century Gothic" w:hAnsi="Century Gothic" w:cs="Century Gothic" w:eastAsia="Century Gothic"/>
                <w:i/>
                <w:iCs/>
                <w:sz w:val="18"/>
                <w:szCs w:val="18"/>
              </w:rPr>
              <w:t>Circulares de Servicios Financieros</w:t>
            </w:r>
            <w:r w:rsidRPr="00C15354">
              <w:rPr>
                <w:rFonts w:ascii="Century Gothic" w:hAnsi="Century Gothic" w:cs="Century Gothic" w:eastAsia="Century Gothic"/>
                <w:sz w:val="18"/>
                <w:szCs w:val="18"/>
              </w:rPr>
              <w:t>. La Paz – Bolivia.</w:t>
            </w:r>
          </w:p>
          <w:p w14:paraId="78E885D9"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Autoridad de Supervisión del Sistema Financiero. Circular ASFI </w:t>
            </w:r>
            <w:proofErr w:type="spellStart"/>
            <w:r w:rsidRPr="00C15354">
              <w:rPr>
                <w:rFonts w:ascii="Century Gothic" w:hAnsi="Century Gothic" w:cs="Century Gothic" w:eastAsia="Century Gothic"/>
                <w:sz w:val="18"/>
                <w:szCs w:val="18"/>
              </w:rPr>
              <w:t>N°</w:t>
            </w:r>
            <w:proofErr w:type="spellEnd"/>
            <w:r w:rsidRPr="00C15354">
              <w:rPr>
                <w:rFonts w:ascii="Century Gothic" w:hAnsi="Century Gothic" w:cs="Century Gothic" w:eastAsia="Century Gothic"/>
                <w:sz w:val="18"/>
                <w:szCs w:val="18"/>
              </w:rPr>
              <w:t xml:space="preserve"> 749/2022, sobre los lineamientos para la emisión de bonos verdes, sociales y sostenibles.</w:t>
            </w:r>
          </w:p>
          <w:p w14:paraId="0B63C794"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Autoridad de Supervisión del Sistema Financiero. Resolución ASFI/540/2025, de 3 de julio de 2025, Reglamento para Empresas de Tecnología Financiera.</w:t>
            </w:r>
          </w:p>
          <w:p w14:paraId="0DEC220E"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Banco Central de Bolivia. Resolución de Directorio </w:t>
            </w:r>
            <w:proofErr w:type="spellStart"/>
            <w:r w:rsidRPr="00C15354">
              <w:rPr>
                <w:rFonts w:ascii="Century Gothic" w:hAnsi="Century Gothic" w:cs="Century Gothic" w:eastAsia="Century Gothic"/>
                <w:sz w:val="18"/>
                <w:szCs w:val="18"/>
              </w:rPr>
              <w:t>N°</w:t>
            </w:r>
            <w:proofErr w:type="spellEnd"/>
            <w:r w:rsidRPr="00C15354">
              <w:rPr>
                <w:rFonts w:ascii="Century Gothic" w:hAnsi="Century Gothic" w:cs="Century Gothic" w:eastAsia="Century Gothic"/>
                <w:sz w:val="18"/>
                <w:szCs w:val="18"/>
              </w:rPr>
              <w:t xml:space="preserve"> 079/2022, de 6 de septiembre de 2022, Reglamento de Servicios de Pago, Instrumentos Electrónicos de Pago, Compensación y Liquidación.</w:t>
            </w:r>
          </w:p>
          <w:p w14:paraId="36E329C9"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Banco Central de Bolivia. Resolución de Directorio </w:t>
            </w:r>
            <w:proofErr w:type="spellStart"/>
            <w:r w:rsidRPr="00C15354">
              <w:rPr>
                <w:rFonts w:ascii="Century Gothic" w:hAnsi="Century Gothic" w:cs="Century Gothic" w:eastAsia="Century Gothic"/>
                <w:sz w:val="18"/>
                <w:szCs w:val="18"/>
              </w:rPr>
              <w:t>N°</w:t>
            </w:r>
            <w:proofErr w:type="spellEnd"/>
            <w:r w:rsidRPr="00C15354">
              <w:rPr>
                <w:rFonts w:ascii="Century Gothic" w:hAnsi="Century Gothic" w:cs="Century Gothic" w:eastAsia="Century Gothic"/>
                <w:sz w:val="18"/>
                <w:szCs w:val="18"/>
              </w:rPr>
              <w:t xml:space="preserve"> 118/2026, de 31 de julio de 2026, que modifica el Reglamento de Encaje Legal.</w:t>
            </w:r>
          </w:p>
          <w:p w14:paraId="43C6CE6C"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Código de Comercio, Decreto Ley </w:t>
            </w:r>
            <w:proofErr w:type="spellStart"/>
            <w:r w:rsidRPr="00C15354">
              <w:rPr>
                <w:rFonts w:ascii="Century Gothic" w:hAnsi="Century Gothic" w:cs="Century Gothic" w:eastAsia="Century Gothic"/>
                <w:sz w:val="18"/>
                <w:szCs w:val="18"/>
              </w:rPr>
              <w:t>N°</w:t>
            </w:r>
            <w:proofErr w:type="spellEnd"/>
            <w:r w:rsidRPr="00C15354">
              <w:rPr>
                <w:rFonts w:ascii="Century Gothic" w:hAnsi="Century Gothic" w:cs="Century Gothic" w:eastAsia="Century Gothic"/>
                <w:sz w:val="18"/>
                <w:szCs w:val="18"/>
              </w:rPr>
              <w:t xml:space="preserve"> 14379, de 25 de febrero de 1977.</w:t>
            </w:r>
          </w:p>
          <w:p w14:paraId="3CE9ED3C"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Código Tributario Boliviano, Ley </w:t>
            </w:r>
            <w:proofErr w:type="spellStart"/>
            <w:r w:rsidRPr="00C15354">
              <w:rPr>
                <w:rFonts w:ascii="Century Gothic" w:hAnsi="Century Gothic" w:cs="Century Gothic" w:eastAsia="Century Gothic"/>
                <w:sz w:val="18"/>
                <w:szCs w:val="18"/>
              </w:rPr>
              <w:t>N°</w:t>
            </w:r>
            <w:proofErr w:type="spellEnd"/>
            <w:r w:rsidRPr="00C15354">
              <w:rPr>
                <w:rFonts w:ascii="Century Gothic" w:hAnsi="Century Gothic" w:cs="Century Gothic" w:eastAsia="Century Gothic"/>
                <w:sz w:val="18"/>
                <w:szCs w:val="18"/>
              </w:rPr>
              <w:t xml:space="preserve"> 2492, de 2 de agosto de 2003.</w:t>
            </w:r>
          </w:p>
          <w:p w14:paraId="753EF521"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Colegio de Auditores o Contadores Públicos de Bolivia, CAUB – Consejo Técnico Nacional de Auditoría y Contabilidad, CTNAC (2023). </w:t>
            </w:r>
            <w:r w:rsidRPr="00C15354">
              <w:rPr>
                <w:rFonts w:ascii="Century Gothic" w:hAnsi="Century Gothic" w:cs="Century Gothic" w:eastAsia="Century Gothic"/>
                <w:i/>
                <w:iCs/>
                <w:sz w:val="18"/>
                <w:szCs w:val="18"/>
              </w:rPr>
              <w:t>Compendio de Normas de Contabilidad y Auditoría</w:t>
            </w:r>
            <w:r w:rsidRPr="00C15354">
              <w:rPr>
                <w:rFonts w:ascii="Century Gothic" w:hAnsi="Century Gothic" w:cs="Century Gothic" w:eastAsia="Century Gothic"/>
                <w:sz w:val="18"/>
                <w:szCs w:val="18"/>
              </w:rPr>
              <w:t>. Santa Cruz – Bolivia.</w:t>
            </w:r>
          </w:p>
          <w:p w14:paraId="0B4EE721"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Decreto Supremo </w:t>
            </w:r>
            <w:proofErr w:type="spellStart"/>
            <w:r w:rsidRPr="00C15354">
              <w:rPr>
                <w:rFonts w:ascii="Century Gothic" w:hAnsi="Century Gothic" w:cs="Century Gothic" w:eastAsia="Century Gothic"/>
                <w:sz w:val="18"/>
                <w:szCs w:val="18"/>
              </w:rPr>
              <w:t>N°</w:t>
            </w:r>
            <w:proofErr w:type="spellEnd"/>
            <w:r w:rsidRPr="00C15354">
              <w:rPr>
                <w:rFonts w:ascii="Century Gothic" w:hAnsi="Century Gothic" w:cs="Century Gothic" w:eastAsia="Century Gothic"/>
                <w:sz w:val="18"/>
                <w:szCs w:val="18"/>
              </w:rPr>
              <w:t xml:space="preserve"> 0530, Aplicación del Interés Penal.</w:t>
            </w:r>
          </w:p>
          <w:p w14:paraId="6D05A571"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Decreto Supremo </w:t>
            </w:r>
            <w:proofErr w:type="spellStart"/>
            <w:r w:rsidRPr="00C15354">
              <w:rPr>
                <w:rFonts w:ascii="Century Gothic" w:hAnsi="Century Gothic" w:cs="Century Gothic" w:eastAsia="Century Gothic"/>
                <w:sz w:val="18"/>
                <w:szCs w:val="18"/>
              </w:rPr>
              <w:t>N°</w:t>
            </w:r>
            <w:proofErr w:type="spellEnd"/>
            <w:r w:rsidRPr="00C15354">
              <w:rPr>
                <w:rFonts w:ascii="Century Gothic" w:hAnsi="Century Gothic" w:cs="Century Gothic" w:eastAsia="Century Gothic"/>
                <w:sz w:val="18"/>
                <w:szCs w:val="18"/>
              </w:rPr>
              <w:t xml:space="preserve"> 1842, Tasas de Interés y Niveles de Cartera.</w:t>
            </w:r>
          </w:p>
          <w:p w14:paraId="0CA8D2B2"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Decreto Supremo </w:t>
            </w:r>
            <w:proofErr w:type="spellStart"/>
            <w:r w:rsidRPr="00C15354">
              <w:rPr>
                <w:rFonts w:ascii="Century Gothic" w:hAnsi="Century Gothic" w:cs="Century Gothic" w:eastAsia="Century Gothic"/>
                <w:sz w:val="18"/>
                <w:szCs w:val="18"/>
              </w:rPr>
              <w:t>N°</w:t>
            </w:r>
            <w:proofErr w:type="spellEnd"/>
            <w:r w:rsidRPr="00C15354">
              <w:rPr>
                <w:rFonts w:ascii="Century Gothic" w:hAnsi="Century Gothic" w:cs="Century Gothic" w:eastAsia="Century Gothic"/>
                <w:sz w:val="18"/>
                <w:szCs w:val="18"/>
              </w:rPr>
              <w:t xml:space="preserve"> 2055, Aplicación de Tasas de Interés Mínimas para Depósitos del Público.</w:t>
            </w:r>
          </w:p>
          <w:p w14:paraId="43A7A6D8"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Decreto Supremo </w:t>
            </w:r>
            <w:proofErr w:type="spellStart"/>
            <w:r w:rsidRPr="00C15354">
              <w:rPr>
                <w:rFonts w:ascii="Century Gothic" w:hAnsi="Century Gothic" w:cs="Century Gothic" w:eastAsia="Century Gothic"/>
                <w:sz w:val="18"/>
                <w:szCs w:val="18"/>
              </w:rPr>
              <w:t>N°</w:t>
            </w:r>
            <w:proofErr w:type="spellEnd"/>
            <w:r w:rsidRPr="00C15354">
              <w:rPr>
                <w:rFonts w:ascii="Century Gothic" w:hAnsi="Century Gothic" w:cs="Century Gothic" w:eastAsia="Century Gothic"/>
                <w:sz w:val="18"/>
                <w:szCs w:val="18"/>
              </w:rPr>
              <w:t xml:space="preserve"> 4904, de 5 de abril de 2023, Reglamento de la Unidad de Investigaciones Financieras.</w:t>
            </w:r>
          </w:p>
          <w:p w14:paraId="11B87E72"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Ley </w:t>
            </w:r>
            <w:proofErr w:type="spellStart"/>
            <w:r w:rsidRPr="00C15354">
              <w:rPr>
                <w:rFonts w:ascii="Century Gothic" w:hAnsi="Century Gothic" w:cs="Century Gothic" w:eastAsia="Century Gothic"/>
                <w:sz w:val="18"/>
                <w:szCs w:val="18"/>
              </w:rPr>
              <w:t>N°</w:t>
            </w:r>
            <w:proofErr w:type="spellEnd"/>
            <w:r w:rsidRPr="00C15354">
              <w:rPr>
                <w:rFonts w:ascii="Century Gothic" w:hAnsi="Century Gothic" w:cs="Century Gothic" w:eastAsia="Century Gothic"/>
                <w:sz w:val="18"/>
                <w:szCs w:val="18"/>
              </w:rPr>
              <w:t xml:space="preserve"> 1670 del Banco Central de Bolivia, de 31 de octubre de 1995.</w:t>
            </w:r>
          </w:p>
          <w:p w14:paraId="6DD783F3"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Ley </w:t>
            </w:r>
            <w:proofErr w:type="spellStart"/>
            <w:r w:rsidRPr="00C15354">
              <w:rPr>
                <w:rFonts w:ascii="Century Gothic" w:hAnsi="Century Gothic" w:cs="Century Gothic" w:eastAsia="Century Gothic"/>
                <w:sz w:val="18"/>
                <w:szCs w:val="18"/>
              </w:rPr>
              <w:t>N°</w:t>
            </w:r>
            <w:proofErr w:type="spellEnd"/>
            <w:r w:rsidRPr="00C15354">
              <w:rPr>
                <w:rFonts w:ascii="Century Gothic" w:hAnsi="Century Gothic" w:cs="Century Gothic" w:eastAsia="Century Gothic"/>
                <w:sz w:val="18"/>
                <w:szCs w:val="18"/>
              </w:rPr>
              <w:t xml:space="preserve"> 393 de Servicios Financieros, de 21 de agosto de 2013.</w:t>
            </w:r>
          </w:p>
        </w:tc>
      </w:tr>
      <w:tr w:rsidR="00EE70B8" w14:paraId="1FB495FF" w14:textId="77777777">
        <w:tc>
          <w:tcPr>
            <w:tcW w:w="9393" w:type="dxa"/>
            <w:gridSpan w:val="16"/>
            <w:tcBorders>
              <w:top w:val="single" w:sz="6" w:space="0" w:color="1F3864"/>
              <w:left w:val="single" w:sz="6" w:space="0" w:color="1F3864"/>
              <w:bottom w:val="single" w:sz="6" w:space="0" w:color="1F3864"/>
              <w:right w:val="single" w:sz="6" w:space="0" w:color="1F3864"/>
            </w:tcBorders>
            <w:shd w:val="clear" w:color="auto" w:fill="D9E2F3"/>
          </w:tcPr>
          <w:p w14:paraId="6485ADDA"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b/>
                <w:bCs/>
                <w:i/>
                <w:iCs/>
                <w:sz w:val="18"/>
                <w:szCs w:val="18"/>
              </w:rPr>
              <w:t>Bibliografía complementaria:</w:t>
            </w:r>
          </w:p>
          <w:p w14:paraId="776B6885"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Alvarado </w:t>
            </w:r>
            <w:proofErr w:type="spellStart"/>
            <w:r w:rsidRPr="00C15354">
              <w:rPr>
                <w:rFonts w:ascii="Century Gothic" w:hAnsi="Century Gothic" w:cs="Century Gothic" w:eastAsia="Century Gothic"/>
                <w:sz w:val="18"/>
                <w:szCs w:val="18"/>
              </w:rPr>
              <w:t>Ralde</w:t>
            </w:r>
            <w:proofErr w:type="spellEnd"/>
            <w:r w:rsidRPr="00C15354">
              <w:rPr>
                <w:rFonts w:ascii="Century Gothic" w:hAnsi="Century Gothic" w:cs="Century Gothic" w:eastAsia="Century Gothic"/>
                <w:sz w:val="18"/>
                <w:szCs w:val="18"/>
              </w:rPr>
              <w:t xml:space="preserve">, H. (2023). </w:t>
            </w:r>
            <w:r w:rsidRPr="00C15354">
              <w:rPr>
                <w:rFonts w:ascii="Century Gothic" w:hAnsi="Century Gothic" w:cs="Century Gothic" w:eastAsia="Century Gothic"/>
                <w:i/>
                <w:iCs/>
                <w:sz w:val="18"/>
                <w:szCs w:val="18"/>
              </w:rPr>
              <w:t>Contabilidad para Entidades Financieras con Excel</w:t>
            </w:r>
            <w:r w:rsidRPr="00C15354">
              <w:rPr>
                <w:rFonts w:ascii="Century Gothic" w:hAnsi="Century Gothic" w:cs="Century Gothic" w:eastAsia="Century Gothic"/>
                <w:sz w:val="18"/>
                <w:szCs w:val="18"/>
              </w:rPr>
              <w:t>. La Paz – Bolivia.</w:t>
            </w:r>
          </w:p>
          <w:p w14:paraId="6E95BED5"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Autoridad de Supervisión del Sistema Financiero. Boletín informativo trimestral y reportes del sistema financiero.</w:t>
            </w:r>
          </w:p>
          <w:p w14:paraId="01C6EFC9"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Comité de Supervisión Bancaria de Basilea (2011). </w:t>
            </w:r>
            <w:r w:rsidRPr="00C15354">
              <w:rPr>
                <w:rFonts w:ascii="Century Gothic" w:hAnsi="Century Gothic" w:cs="Century Gothic" w:eastAsia="Century Gothic"/>
                <w:i/>
                <w:iCs/>
                <w:sz w:val="18"/>
                <w:szCs w:val="18"/>
              </w:rPr>
              <w:t>Basilea III: marco regulador global para reforzar los bancos y sistemas bancarios</w:t>
            </w:r>
            <w:r w:rsidRPr="00C15354">
              <w:rPr>
                <w:rFonts w:ascii="Century Gothic" w:hAnsi="Century Gothic" w:cs="Century Gothic" w:eastAsia="Century Gothic"/>
                <w:sz w:val="18"/>
                <w:szCs w:val="18"/>
              </w:rPr>
              <w:t>. Basilea: Banco de Pagos Internacionales.</w:t>
            </w:r>
          </w:p>
          <w:p w14:paraId="47E9B5FB"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Consejo de Normas Internacionales de Contabilidad (IASB). NIIF 9 Instrumentos Financieros y NIIF 16 Arrendamientos.</w:t>
            </w:r>
          </w:p>
          <w:p w14:paraId="6BF72E5B"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Mejía Flores, N. R. (2021). </w:t>
            </w:r>
            <w:r w:rsidRPr="00C15354">
              <w:rPr>
                <w:rFonts w:ascii="Century Gothic" w:hAnsi="Century Gothic" w:cs="Century Gothic" w:eastAsia="Century Gothic"/>
                <w:i/>
                <w:iCs/>
                <w:sz w:val="18"/>
                <w:szCs w:val="18"/>
              </w:rPr>
              <w:t>El ABC de la Contabilidad de Bancos y Entidades Financieras</w:t>
            </w:r>
            <w:r w:rsidRPr="00C15354">
              <w:rPr>
                <w:rFonts w:ascii="Century Gothic" w:hAnsi="Century Gothic" w:cs="Century Gothic" w:eastAsia="Century Gothic"/>
                <w:sz w:val="18"/>
                <w:szCs w:val="18"/>
              </w:rPr>
              <w:t>. La Paz – Bolivia.</w:t>
            </w:r>
          </w:p>
          <w:p w14:paraId="04BA578B"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Mendoza </w:t>
            </w:r>
            <w:proofErr w:type="spellStart"/>
            <w:r w:rsidRPr="00C15354">
              <w:rPr>
                <w:rFonts w:ascii="Century Gothic" w:hAnsi="Century Gothic" w:cs="Century Gothic" w:eastAsia="Century Gothic"/>
                <w:sz w:val="18"/>
                <w:szCs w:val="18"/>
              </w:rPr>
              <w:t>Mendoza</w:t>
            </w:r>
            <w:proofErr w:type="spellEnd"/>
            <w:r w:rsidRPr="00C15354">
              <w:rPr>
                <w:rFonts w:ascii="Century Gothic" w:hAnsi="Century Gothic" w:cs="Century Gothic" w:eastAsia="Century Gothic"/>
                <w:sz w:val="18"/>
                <w:szCs w:val="18"/>
              </w:rPr>
              <w:t xml:space="preserve">, L. A. (2023). </w:t>
            </w:r>
            <w:r w:rsidRPr="00C15354">
              <w:rPr>
                <w:rFonts w:ascii="Century Gothic" w:hAnsi="Century Gothic" w:cs="Century Gothic" w:eastAsia="Century Gothic"/>
                <w:i/>
                <w:iCs/>
                <w:sz w:val="18"/>
                <w:szCs w:val="18"/>
              </w:rPr>
              <w:t>Contabilidad de Bancos y Entidades Financieras</w:t>
            </w:r>
            <w:r w:rsidRPr="00C15354">
              <w:rPr>
                <w:rFonts w:ascii="Century Gothic" w:hAnsi="Century Gothic" w:cs="Century Gothic" w:eastAsia="Century Gothic"/>
                <w:sz w:val="18"/>
                <w:szCs w:val="18"/>
              </w:rPr>
              <w:t>. La Paz – Bolivia: Ediciones Punto e Imagen.</w:t>
            </w:r>
          </w:p>
          <w:p w14:paraId="7BBD13FC"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bookmarkStart w:id="1" w:name="_fn2y8dqxjwh7" w:colFirst="0" w:colLast="0"/>
            <w:bookmarkEnd w:id="1"/>
            <w:r w:rsidRPr="00C15354">
              <w:rPr>
                <w:rFonts w:ascii="Century Gothic" w:hAnsi="Century Gothic" w:cs="Century Gothic" w:eastAsia="Century Gothic"/>
                <w:sz w:val="18"/>
                <w:szCs w:val="18"/>
              </w:rPr>
              <w:t>Sitios web oficiales: www.asfi.gob.bo, www.bcb.gob.bo, www.bbv.com.bo y www.uif.gob.bo.</w:t>
            </w:r>
          </w:p>
        </w:tc>
      </w:tr>
    </w:tbl>
    <w:p w14:paraId="6DEB1D64" w14:textId="77777777" w:rsidR="00EE70B8" w:rsidRDefault="00EE70B8">
      <w:pPr>
        <w:spacing w:line="240" w:lineRule="auto"/>
        <w:rPr>
          <w:rFonts w:ascii="Century Gothic" w:hAnsi="Century Gothic" w:cs="Century Gothic" w:eastAsia="Century Gothic"/>
          <w:sz w:val="20"/>
          <w:szCs w:val="20"/>
        </w:rPr>
      </w:pPr>
    </w:p>
    <w:sectPr w:rsidR="00EE70B8">
      <w:footerReference w:type="default" r:id="rId7"/>
      <w:headerReference w:type="default" r:id="rId10"/>
      <w:pgSz w:w="12240" w:h="15840"/>
      <w:pgMar w:top="1701" w:right="1134" w:bottom="1134" w:left="1701"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F5BCEDB" w14:textId="77777777" w:rsidR="007862E6" w:rsidRDefault="00C15354">
      <w:r>
        <w:separator/>
      </w:r>
    </w:p>
  </w:endnote>
  <w:endnote w:type="continuationSeparator" w:id="0">
    <w:p w14:paraId="2CD51A0F" w14:textId="77777777" w:rsidR="007862E6" w:rsidRDefault="00C153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99E6248-C696-4174-AA94-87194648BB3D}"/>
  </w:font>
  <w:font w:name="Calibri">
    <w:panose1 w:val="020F0502020204030204"/>
    <w:charset w:val="00"/>
    <w:family w:val="swiss"/>
    <w:pitch w:val="variable"/>
    <w:sig w:usb0="E0002AFF" w:usb1="4000ACFF" w:usb2="00000001" w:usb3="00000000" w:csb0="000001FF" w:csb1="00000000"/>
    <w:embedRegular r:id="rId2" w:fontKey="{9315F837-84A0-4E71-82E9-2276702C589B}"/>
  </w:font>
  <w:font w:name="Cambria">
    <w:panose1 w:val="02040503050406030204"/>
    <w:charset w:val="00"/>
    <w:family w:val="roman"/>
    <w:pitch w:val="variable"/>
    <w:sig w:usb0="E00006FF" w:usb1="420024FF" w:usb2="02000000" w:usb3="00000000" w:csb0="0000019F" w:csb1="00000000"/>
    <w:embedRegular r:id="rId3" w:fontKey="{657AB022-3082-4149-9FE6-0584348E7F3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D1BED5F" w14:textId="77777777" w:rsidR="007862E6" w:rsidRDefault="00C15354">
      <w:r>
        <w:separator/>
      </w:r>
    </w:p>
  </w:footnote>
  <w:footnote w:type="continuationSeparator" w:id="0">
    <w:p w14:paraId="2793C4FE" w14:textId="77777777" w:rsidR="007862E6" w:rsidRDefault="00C15354">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B227D"/>
    <w:multiLevelType w:val="multilevel"/>
    <w:tmpl w:val="888E16C0"/>
    <w:lvl w:ilvl="0">
      <w:start w:val="1"/>
      <w:numFmt w:val="bullet"/>
      <w:lvlText w:val=""/>
      <w:lvlJc w:val="left"/>
      <w:pPr>
        <w:ind w:left="360" w:hanging="260"/>
      </w:pPr>
      <w:rPr>
        <w:rFonts w:ascii="Wingdings" w:hAnsi="Wingdings" w:hint="default"/>
      </w:rPr>
    </w:lvl>
    <w:lvl w:ilvl="1">
      <w:start w:val="1"/>
      <w:numFmt w:val="bullet"/>
      <w:lvlText w:val="–"/>
      <w:lvlJc w:val="left"/>
      <w:pPr>
        <w:ind w:left="0" w:firstLine="0"/>
      </w:pPr>
      <w:rPr>
        <w:rFonts w:ascii="Century Gothic" w:hAnsi="Century Gothic" w:cs="Century Gothic" w:hint="default"/>
      </w:rPr>
    </w:lvl>
    <w:lvl w:ilvl="2">
      <w:start w:val="1"/>
      <w:numFmt w:val="bullet"/>
      <w:lvlText w:val=""/>
      <w:lvlJc w:val="left"/>
      <w:pPr>
        <w:ind w:left="0" w:firstLine="0"/>
      </w:pPr>
      <w:rPr>
        <w:rFonts w:ascii="Wingdings" w:hAnsi="Wingdings" w:hint="default"/>
      </w:rPr>
    </w:lvl>
    <w:lvl w:ilvl="3">
      <w:start w:val="1"/>
      <w:numFmt w:val="bullet"/>
      <w:lvlText w:val=""/>
      <w:lvlJc w:val="left"/>
      <w:pPr>
        <w:ind w:left="0" w:firstLine="0"/>
      </w:pPr>
      <w:rPr>
        <w:rFonts w:ascii="Wingdings" w:hAnsi="Wingdings" w:hint="default"/>
      </w:rPr>
    </w:lvl>
    <w:lvl w:ilvl="4">
      <w:start w:val="1"/>
      <w:numFmt w:val="bullet"/>
      <w:lvlText w:val=""/>
      <w:lvlJc w:val="left"/>
      <w:pPr>
        <w:ind w:left="0" w:firstLine="0"/>
      </w:pPr>
      <w:rPr>
        <w:rFonts w:ascii="Wingdings" w:hAnsi="Wingdings"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Wingdings" w:hAnsi="Wingdings" w:hint="default"/>
      </w:rPr>
    </w:lvl>
    <w:lvl w:ilvl="7">
      <w:start w:val="1"/>
      <w:numFmt w:val="bullet"/>
      <w:lvlText w:val=""/>
      <w:lvlJc w:val="left"/>
      <w:pPr>
        <w:ind w:left="0" w:firstLine="0"/>
      </w:pPr>
      <w:rPr>
        <w:rFonts w:ascii="Wingdings" w:hAnsi="Wingdings" w:hint="default"/>
      </w:rPr>
    </w:lvl>
    <w:lvl w:ilvl="8">
      <w:start w:val="1"/>
      <w:numFmt w:val="bullet"/>
      <w:lvlText w:val=""/>
      <w:lvlJc w:val="left"/>
      <w:pPr>
        <w:ind w:left="0" w:firstLine="0"/>
      </w:pPr>
      <w:rPr>
        <w:rFonts w:ascii="Wingdings" w:hAnsi="Wingdings" w:hint="default"/>
      </w:rPr>
    </w:lvl>
  </w:abstractNum>
  <w:abstractNum w:abstractNumId="1" w15:restartNumberingAfterBreak="0">
    <w:nsid w:val="07A57E6B"/>
    <w:multiLevelType w:val="multilevel"/>
    <w:tmpl w:val="3BEA0262"/>
    <w:lvl w:ilvl="0">
      <w:start w:val="1"/>
      <w:numFmt w:val="bullet"/>
      <w:lvlText w:val=""/>
      <w:lvlJc w:val="left"/>
      <w:pPr>
        <w:ind w:left="360" w:hanging="260"/>
      </w:pPr>
      <w:rPr>
        <w:rFonts w:ascii="Wingdings" w:hAnsi="Wingdings" w:hint="default"/>
      </w:rPr>
    </w:lvl>
    <w:lvl w:ilvl="1">
      <w:start w:val="1"/>
      <w:numFmt w:val="bullet"/>
      <w:lvlText w:val="–"/>
      <w:lvlJc w:val="left"/>
      <w:pPr>
        <w:ind w:left="0" w:firstLine="0"/>
      </w:pPr>
      <w:rPr>
        <w:rFonts w:ascii="Century Gothic" w:hAnsi="Century Gothic" w:cs="Century Gothic" w:hint="default"/>
      </w:rPr>
    </w:lvl>
    <w:lvl w:ilvl="2">
      <w:start w:val="1"/>
      <w:numFmt w:val="bullet"/>
      <w:lvlText w:val=""/>
      <w:lvlJc w:val="left"/>
      <w:pPr>
        <w:ind w:left="0" w:firstLine="0"/>
      </w:pPr>
      <w:rPr>
        <w:rFonts w:ascii="Wingdings" w:hAnsi="Wingdings" w:hint="default"/>
      </w:rPr>
    </w:lvl>
    <w:lvl w:ilvl="3">
      <w:start w:val="1"/>
      <w:numFmt w:val="bullet"/>
      <w:lvlText w:val=""/>
      <w:lvlJc w:val="left"/>
      <w:pPr>
        <w:ind w:left="0" w:firstLine="0"/>
      </w:pPr>
      <w:rPr>
        <w:rFonts w:ascii="Wingdings" w:hAnsi="Wingdings" w:hint="default"/>
      </w:rPr>
    </w:lvl>
    <w:lvl w:ilvl="4">
      <w:start w:val="1"/>
      <w:numFmt w:val="bullet"/>
      <w:lvlText w:val=""/>
      <w:lvlJc w:val="left"/>
      <w:pPr>
        <w:ind w:left="0" w:firstLine="0"/>
      </w:pPr>
      <w:rPr>
        <w:rFonts w:ascii="Wingdings" w:hAnsi="Wingdings"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Wingdings" w:hAnsi="Wingdings" w:hint="default"/>
      </w:rPr>
    </w:lvl>
    <w:lvl w:ilvl="7">
      <w:start w:val="1"/>
      <w:numFmt w:val="bullet"/>
      <w:lvlText w:val=""/>
      <w:lvlJc w:val="left"/>
      <w:pPr>
        <w:ind w:left="0" w:firstLine="0"/>
      </w:pPr>
      <w:rPr>
        <w:rFonts w:ascii="Wingdings" w:hAnsi="Wingdings" w:hint="default"/>
      </w:rPr>
    </w:lvl>
    <w:lvl w:ilvl="8">
      <w:start w:val="1"/>
      <w:numFmt w:val="bullet"/>
      <w:lvlText w:val=""/>
      <w:lvlJc w:val="left"/>
      <w:pPr>
        <w:ind w:left="0" w:firstLine="0"/>
      </w:pPr>
      <w:rPr>
        <w:rFonts w:ascii="Wingdings" w:hAnsi="Wingdings" w:hint="default"/>
      </w:rPr>
    </w:lvl>
  </w:abstractNum>
  <w:abstractNum w:abstractNumId="2" w15:restartNumberingAfterBreak="0">
    <w:nsid w:val="0EBD0FB3"/>
    <w:multiLevelType w:val="multilevel"/>
    <w:tmpl w:val="DBC6D734"/>
    <w:lvl w:ilvl="0">
      <w:start w:val="1"/>
      <w:numFmt w:val="decimal"/>
      <w:lvlText w:val="%1."/>
      <w:lvlJc w:val="left"/>
      <w:pPr>
        <w:ind w:left="400" w:hanging="38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3" w15:restartNumberingAfterBreak="0">
    <w:nsid w:val="26583CED"/>
    <w:multiLevelType w:val="multilevel"/>
    <w:tmpl w:val="2E106820"/>
    <w:lvl w:ilvl="0">
      <w:start w:val="1"/>
      <w:numFmt w:val="decimal"/>
      <w:lvlText w:val="%1."/>
      <w:lvlJc w:val="left"/>
      <w:pPr>
        <w:ind w:left="500" w:hanging="400"/>
      </w:pPr>
    </w:lvl>
    <w:lvl w:ilvl="1">
      <w:start w:val="1"/>
      <w:numFmt w:val="bullet"/>
      <w:lvlText w:val="–"/>
      <w:lvlJc w:val="left"/>
      <w:pPr>
        <w:ind w:left="0" w:firstLine="0"/>
      </w:pPr>
      <w:rPr>
        <w:rFonts w:ascii="Century Gothic" w:hAnsi="Century Gothic" w:cs="Century Gothic" w:hint="default"/>
      </w:rPr>
    </w:lvl>
    <w:lvl w:ilvl="2">
      <w:start w:val="1"/>
      <w:numFmt w:val="bullet"/>
      <w:lvlText w:val=""/>
      <w:lvlJc w:val="left"/>
      <w:pPr>
        <w:ind w:left="0" w:firstLine="0"/>
      </w:pPr>
      <w:rPr>
        <w:rFonts w:ascii="Wingdings" w:hAnsi="Wingdings" w:hint="default"/>
      </w:rPr>
    </w:lvl>
    <w:lvl w:ilvl="3">
      <w:start w:val="1"/>
      <w:numFmt w:val="bullet"/>
      <w:lvlText w:val=""/>
      <w:lvlJc w:val="left"/>
      <w:pPr>
        <w:ind w:left="0" w:firstLine="0"/>
      </w:pPr>
      <w:rPr>
        <w:rFonts w:ascii="Wingdings" w:hAnsi="Wingdings" w:hint="default"/>
      </w:rPr>
    </w:lvl>
    <w:lvl w:ilvl="4">
      <w:start w:val="1"/>
      <w:numFmt w:val="bullet"/>
      <w:lvlText w:val=""/>
      <w:lvlJc w:val="left"/>
      <w:pPr>
        <w:ind w:left="0" w:firstLine="0"/>
      </w:pPr>
      <w:rPr>
        <w:rFonts w:ascii="Wingdings" w:hAnsi="Wingdings"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Wingdings" w:hAnsi="Wingdings" w:hint="default"/>
      </w:rPr>
    </w:lvl>
    <w:lvl w:ilvl="7">
      <w:start w:val="1"/>
      <w:numFmt w:val="bullet"/>
      <w:lvlText w:val=""/>
      <w:lvlJc w:val="left"/>
      <w:pPr>
        <w:ind w:left="0" w:firstLine="0"/>
      </w:pPr>
      <w:rPr>
        <w:rFonts w:ascii="Wingdings" w:hAnsi="Wingdings" w:hint="default"/>
      </w:rPr>
    </w:lvl>
    <w:lvl w:ilvl="8">
      <w:start w:val="1"/>
      <w:numFmt w:val="bullet"/>
      <w:lvlText w:val=""/>
      <w:lvlJc w:val="left"/>
      <w:pPr>
        <w:ind w:left="0" w:firstLine="0"/>
      </w:pPr>
      <w:rPr>
        <w:rFonts w:ascii="Wingdings" w:hAnsi="Wingdings" w:hint="default"/>
      </w:rPr>
    </w:lvl>
  </w:abstractNum>
  <w:abstractNum w:abstractNumId="4" w15:restartNumberingAfterBreak="0">
    <w:nsid w:val="2B150E53"/>
    <w:multiLevelType w:val="multilevel"/>
    <w:tmpl w:val="861A317C"/>
    <w:lvl w:ilvl="0">
      <w:start w:val="1"/>
      <w:numFmt w:val="decimal"/>
      <w:lvlText w:val="%1."/>
      <w:lvlJc w:val="left"/>
      <w:pPr>
        <w:ind w:left="420" w:hanging="420"/>
      </w:pPr>
    </w:lvl>
    <w:lvl w:ilvl="1">
      <w:start w:val="1"/>
      <w:numFmt w:val="bullet"/>
      <w:lvlText w:val="–"/>
      <w:lvlJc w:val="left"/>
      <w:pPr>
        <w:ind w:left="0" w:firstLine="0"/>
      </w:pPr>
      <w:rPr>
        <w:rFonts w:ascii="Century Gothic" w:hAnsi="Century Gothic" w:cs="Century Gothic" w:hint="default"/>
      </w:rPr>
    </w:lvl>
    <w:lvl w:ilvl="2">
      <w:start w:val="1"/>
      <w:numFmt w:val="bullet"/>
      <w:lvlText w:val=""/>
      <w:lvlJc w:val="left"/>
      <w:pPr>
        <w:ind w:left="0" w:firstLine="0"/>
      </w:pPr>
      <w:rPr>
        <w:rFonts w:ascii="Wingdings" w:hAnsi="Wingdings" w:hint="default"/>
      </w:rPr>
    </w:lvl>
    <w:lvl w:ilvl="3">
      <w:start w:val="1"/>
      <w:numFmt w:val="bullet"/>
      <w:lvlText w:val=""/>
      <w:lvlJc w:val="left"/>
      <w:pPr>
        <w:ind w:left="0" w:firstLine="0"/>
      </w:pPr>
      <w:rPr>
        <w:rFonts w:ascii="Wingdings" w:hAnsi="Wingdings" w:hint="default"/>
      </w:rPr>
    </w:lvl>
    <w:lvl w:ilvl="4">
      <w:start w:val="1"/>
      <w:numFmt w:val="bullet"/>
      <w:lvlText w:val=""/>
      <w:lvlJc w:val="left"/>
      <w:pPr>
        <w:ind w:left="0" w:firstLine="0"/>
      </w:pPr>
      <w:rPr>
        <w:rFonts w:ascii="Wingdings" w:hAnsi="Wingdings"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Wingdings" w:hAnsi="Wingdings" w:hint="default"/>
      </w:rPr>
    </w:lvl>
    <w:lvl w:ilvl="7">
      <w:start w:val="1"/>
      <w:numFmt w:val="bullet"/>
      <w:lvlText w:val=""/>
      <w:lvlJc w:val="left"/>
      <w:pPr>
        <w:ind w:left="0" w:firstLine="0"/>
      </w:pPr>
      <w:rPr>
        <w:rFonts w:ascii="Wingdings" w:hAnsi="Wingdings" w:hint="default"/>
      </w:rPr>
    </w:lvl>
    <w:lvl w:ilvl="8">
      <w:start w:val="1"/>
      <w:numFmt w:val="bullet"/>
      <w:lvlText w:val=""/>
      <w:lvlJc w:val="left"/>
      <w:pPr>
        <w:ind w:left="0" w:firstLine="0"/>
      </w:pPr>
      <w:rPr>
        <w:rFonts w:ascii="Wingdings" w:hAnsi="Wingdings" w:hint="default"/>
      </w:rPr>
    </w:lvl>
  </w:abstractNum>
  <w:abstractNum w:abstractNumId="5" w15:restartNumberingAfterBreak="0">
    <w:nsid w:val="51597770"/>
    <w:multiLevelType w:val="multilevel"/>
    <w:tmpl w:val="8E5CE662"/>
    <w:lvl w:ilvl="0">
      <w:start w:val="1"/>
      <w:numFmt w:val="bullet"/>
      <w:lvlText w:val=""/>
      <w:lvlJc w:val="left"/>
      <w:pPr>
        <w:ind w:left="260" w:hanging="220"/>
      </w:pPr>
      <w:rPr>
        <w:rFonts w:ascii="Wingdings" w:hAnsi="Wingdings" w:hint="default"/>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6" w15:restartNumberingAfterBreak="0">
    <w:nsid w:val="73665E00"/>
    <w:multiLevelType w:val="multilevel"/>
    <w:tmpl w:val="CD245212"/>
    <w:lvl w:ilvl="0">
      <w:start w:val="1"/>
      <w:numFmt w:val="decimal"/>
      <w:lvlText w:val="%1."/>
      <w:lvlJc w:val="left"/>
      <w:pPr>
        <w:ind w:left="420" w:hanging="420"/>
      </w:pPr>
    </w:lvl>
    <w:lvl w:ilvl="1">
      <w:start w:val="1"/>
      <w:numFmt w:val="bullet"/>
      <w:lvlText w:val="–"/>
      <w:lvlJc w:val="left"/>
      <w:pPr>
        <w:ind w:left="0" w:firstLine="0"/>
      </w:pPr>
      <w:rPr>
        <w:rFonts w:ascii="Century Gothic" w:hAnsi="Century Gothic" w:cs="Century Gothic" w:hint="default"/>
      </w:rPr>
    </w:lvl>
    <w:lvl w:ilvl="2">
      <w:start w:val="1"/>
      <w:numFmt w:val="bullet"/>
      <w:lvlText w:val=""/>
      <w:lvlJc w:val="left"/>
      <w:pPr>
        <w:ind w:left="0" w:firstLine="0"/>
      </w:pPr>
      <w:rPr>
        <w:rFonts w:ascii="Wingdings" w:hAnsi="Wingdings" w:hint="default"/>
      </w:rPr>
    </w:lvl>
    <w:lvl w:ilvl="3">
      <w:start w:val="1"/>
      <w:numFmt w:val="bullet"/>
      <w:lvlText w:val=""/>
      <w:lvlJc w:val="left"/>
      <w:pPr>
        <w:ind w:left="0" w:firstLine="0"/>
      </w:pPr>
      <w:rPr>
        <w:rFonts w:ascii="Wingdings" w:hAnsi="Wingdings" w:hint="default"/>
      </w:rPr>
    </w:lvl>
    <w:lvl w:ilvl="4">
      <w:start w:val="1"/>
      <w:numFmt w:val="bullet"/>
      <w:lvlText w:val=""/>
      <w:lvlJc w:val="left"/>
      <w:pPr>
        <w:ind w:left="0" w:firstLine="0"/>
      </w:pPr>
      <w:rPr>
        <w:rFonts w:ascii="Wingdings" w:hAnsi="Wingdings"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Wingdings" w:hAnsi="Wingdings" w:hint="default"/>
      </w:rPr>
    </w:lvl>
    <w:lvl w:ilvl="7">
      <w:start w:val="1"/>
      <w:numFmt w:val="bullet"/>
      <w:lvlText w:val=""/>
      <w:lvlJc w:val="left"/>
      <w:pPr>
        <w:ind w:left="0" w:firstLine="0"/>
      </w:pPr>
      <w:rPr>
        <w:rFonts w:ascii="Wingdings" w:hAnsi="Wingdings" w:hint="default"/>
      </w:rPr>
    </w:lvl>
    <w:lvl w:ilvl="8">
      <w:start w:val="1"/>
      <w:numFmt w:val="bullet"/>
      <w:lvlText w:val=""/>
      <w:lvlJc w:val="left"/>
      <w:pPr>
        <w:ind w:left="0" w:firstLine="0"/>
      </w:pPr>
      <w:rPr>
        <w:rFonts w:ascii="Wingdings" w:hAnsi="Wingdings" w:hint="default"/>
      </w:rPr>
    </w:lvl>
  </w:abstractNum>
  <w:abstractNum w:abstractNumId="7" w15:restartNumberingAfterBreak="0">
    <w:nsid w:val="7F744D72"/>
    <w:multiLevelType w:val="multilevel"/>
    <w:tmpl w:val="AC781C68"/>
    <w:lvl w:ilvl="0">
      <w:start w:val="1"/>
      <w:numFmt w:val="decimal"/>
      <w:lvlText w:val="%1."/>
      <w:lvlJc w:val="left"/>
      <w:pPr>
        <w:ind w:left="400" w:hanging="38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abstractNumId w:val="4"/>
  </w:num>
  <w:num w:numId="2">
    <w:abstractNumId w:val="6"/>
  </w:num>
  <w:num w:numId="3">
    <w:abstractNumId w:val="0"/>
  </w:num>
  <w:num w:numId="4">
    <w:abstractNumId w:val="3"/>
  </w:num>
  <w:num w:numId="5">
    <w:abstractNumId w:val="1"/>
  </w:num>
  <w:num w:numId="6">
    <w:abstractNumId w:val="5"/>
  </w:num>
  <w:num w:numId="7">
    <w:abstractNumId w:val="7"/>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70B8"/>
    <w:rsid w:val="007862E6"/>
    <w:rsid w:val="00906D7D"/>
    <w:rsid w:val="00C15354"/>
    <w:rsid w:val="00C80536"/>
    <w:rsid w:val="00EE70B8"/>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4A613E"/>
  <w15:docId w15:val="{8166C845-3E7B-48D5-9674-5F0692C281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Gothic" w:eastAsia="Century Gothic" w:hAnsi="Century Gothic" w:cs="Century Gothic"/>
        <w:sz w:val="21"/>
        <w:szCs w:val="21"/>
        <w:lang w:val="es-BO" w:eastAsia="es-BO" w:bidi="ar-SA"/>
      </w:rPr>
    </w:rPrDefault>
    <w:pPrDefault>
      <w:pPr>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Century Gothic" w:hAnsi="Century Gothic"/>
      <w:sz w:val="20"/>
    </w:rPr>
  </w:style>
  <w:style w:type="paragraph" w:styleId="Ttulo1">
    <w:name w:val="heading 1"/>
    <w:basedOn w:val="Normal"/>
    <w:next w:val="Normal"/>
    <w:uiPriority w:val="9"/>
    <w:qFormat/>
    <w:pPr>
      <w:keepNext/>
      <w:keepLines/>
      <w:spacing w:before="480" w:after="120"/>
      <w:outlineLvl w:val="0"/>
    </w:pPr>
    <w:rPr>
      <w:rFonts w:ascii="Century Gothic" w:hAnsi="Century Gothic" w:cs="Century Gothic" w:eastAsia="Century Gothic"/>
      <w:b/>
      <w:bCs/>
      <w:sz w:val="48"/>
      <w:szCs w:val="48"/>
    </w:rPr>
  </w:style>
  <w:style w:type="paragraph" w:styleId="Ttulo2">
    <w:name w:val="heading 2"/>
    <w:basedOn w:val="Normal"/>
    <w:next w:val="Normal"/>
    <w:uiPriority w:val="9"/>
    <w:semiHidden/>
    <w:unhideWhenUsed/>
    <w:qFormat/>
    <w:pPr>
      <w:keepNext/>
      <w:keepLines/>
      <w:spacing w:before="360" w:after="80"/>
      <w:outlineLvl w:val="1"/>
    </w:pPr>
    <w:rPr>
      <w:rFonts w:ascii="Century Gothic" w:hAnsi="Century Gothic" w:cs="Century Gothic" w:eastAsia="Century Gothic"/>
      <w:b/>
      <w:bCs/>
      <w:sz w:val="36"/>
      <w:szCs w:val="36"/>
    </w:rPr>
  </w:style>
  <w:style w:type="paragraph" w:styleId="Ttulo3">
    <w:name w:val="heading 3"/>
    <w:basedOn w:val="Normal"/>
    <w:next w:val="Normal"/>
    <w:uiPriority w:val="9"/>
    <w:semiHidden/>
    <w:unhideWhenUsed/>
    <w:qFormat/>
    <w:pPr>
      <w:keepNext/>
      <w:keepLines/>
      <w:spacing w:before="280" w:after="80"/>
      <w:outlineLvl w:val="2"/>
    </w:pPr>
    <w:rPr>
      <w:rFonts w:ascii="Century Gothic" w:hAnsi="Century Gothic" w:cs="Century Gothic" w:eastAsia="Century Gothic"/>
      <w:b/>
      <w:bCs/>
      <w:sz w:val="28"/>
      <w:szCs w:val="28"/>
    </w:rPr>
  </w:style>
  <w:style w:type="paragraph" w:styleId="Ttulo4">
    <w:name w:val="heading 4"/>
    <w:basedOn w:val="Normal"/>
    <w:next w:val="Normal"/>
    <w:uiPriority w:val="9"/>
    <w:semiHidden/>
    <w:unhideWhenUsed/>
    <w:qFormat/>
    <w:pPr>
      <w:keepNext/>
      <w:keepLines/>
      <w:spacing w:before="240" w:after="40"/>
      <w:outlineLvl w:val="3"/>
    </w:pPr>
    <w:rPr>
      <w:rFonts w:ascii="Century Gothic" w:hAnsi="Century Gothic" w:cs="Century Gothic" w:eastAsia="Century Gothic"/>
      <w:b/>
      <w:bCs/>
      <w:sz w:val="24"/>
      <w:szCs w:val="24"/>
    </w:rPr>
  </w:style>
  <w:style w:type="paragraph" w:styleId="Ttulo5">
    <w:name w:val="heading 5"/>
    <w:basedOn w:val="Normal"/>
    <w:next w:val="Normal"/>
    <w:uiPriority w:val="9"/>
    <w:semiHidden/>
    <w:unhideWhenUsed/>
    <w:qFormat/>
    <w:pPr>
      <w:keepNext/>
      <w:keepLines/>
      <w:spacing w:before="220" w:after="40"/>
      <w:outlineLvl w:val="4"/>
    </w:pPr>
    <w:rPr>
      <w:rFonts w:ascii="Century Gothic" w:hAnsi="Century Gothic" w:cs="Century Gothic" w:eastAsia="Century Gothic"/>
      <w:b/>
      <w:bCs/>
      <w:sz w:val="22"/>
      <w:szCs w:val="22"/>
    </w:rPr>
  </w:style>
  <w:style w:type="paragraph" w:styleId="Ttulo6">
    <w:name w:val="heading 6"/>
    <w:basedOn w:val="Normal"/>
    <w:next w:val="Normal"/>
    <w:uiPriority w:val="9"/>
    <w:semiHidden/>
    <w:unhideWhenUsed/>
    <w:qFormat/>
    <w:pPr>
      <w:keepNext/>
      <w:keepLines/>
      <w:spacing w:before="200" w:after="40"/>
      <w:outlineLvl w:val="5"/>
    </w:pPr>
    <w:rPr>
      <w:rFonts w:ascii="Century Gothic" w:hAnsi="Century Gothic" w:cs="Century Gothic" w:eastAsia="Century Gothic"/>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jc w:val="left"/>
    </w:pPr>
    <w:rPr>
      <w:rFonts w:ascii="Century Gothic" w:hAnsi="Century Gothic" w:cs="Century Gothic" w:eastAsia="Century Gothic"/>
      <w:sz w:val="56"/>
      <w:szCs w:val="56"/>
    </w:rPr>
  </w:style>
  <w:style w:type="paragraph" w:styleId="Subttulo">
    <w:name w:val="Subtitle"/>
    <w:basedOn w:val="Normal"/>
    <w:next w:val="Normal"/>
    <w:uiPriority w:val="11"/>
    <w:qFormat/>
    <w:pPr>
      <w:keepNext/>
      <w:keepLines/>
      <w:spacing w:before="360" w:after="80"/>
    </w:pPr>
    <w:rPr>
      <w:rFonts w:ascii="Century Gothic" w:eastAsia="Century Gothic" w:hAnsi="Century Gothic" w:cs="Century Gothic"/>
      <w:i/>
      <w:iCs/>
      <w:sz w:val="48"/>
      <w:szCs w:val="48"/>
    </w:rPr>
  </w:style>
  <w:style w:type="table" w:customStyle="1" w:styleId="a">
    <w:basedOn w:val="TableNormal"/>
    <w:tblPr>
      <w:tblStyleRowBandSize w:val="1"/>
      <w:tblStyleColBandSize w:val="1"/>
      <w:tblCellMar>
        <w:top w:w="0" w:type="dxa"/>
        <w:left w:w="10" w:type="dxa"/>
        <w:bottom w:w="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17</Pages>
  <Words>6999</Words>
  <Characters>38500</Characters>
  <Application>Microsoft Office Word</Application>
  <DocSecurity>0</DocSecurity>
  <Lines>320</Lines>
  <Paragraphs>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mariachipana385@gmail.com</cp:lastModifiedBy>
  <cp:revision>3</cp:revision>
  <dcterms:created xsi:type="dcterms:W3CDTF">2026-10-09T19:51:00Z</dcterms:created>
  <dcterms:modified xsi:type="dcterms:W3CDTF">2026-10-09T20:36:00Z</dcterms:modified>
</cp:coreProperties>
</file>