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:rsidR="00F62955" w:rsidRDefault="00EB0363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:rsidR="00F62955" w:rsidRDefault="00EB0363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PRIMER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Matemáticas Financieras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MAT-102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Matemáticas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AE, CPF o PSA</w:t>
            </w:r>
          </w:p>
        </w:tc>
      </w:tr>
      <w:tr w:rsidR="00F62955" w:rsidTr="00D929B1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F62955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F62955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</w:t>
            </w:r>
          </w:p>
        </w:tc>
      </w:tr>
      <w:tr w:rsidR="00F62955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1C1718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14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1C1718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14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1C1718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41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1C1718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41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270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F6295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F6295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Evalúa operaciones de financiamiento e inversión del sistema financiero boliviano, aplicando los modelos del valor del dinero en el tiempo, calculando tasas, rentas, amortizaciones y valores de instrumentos financieros en hoja de cálculo e interpretando sus resultados y sus riesgos en la toma de decisiones, con rigor técnico, pensamiento crítico, ética profesional y apego a la normativa de la ASFI y del Banco Central de Bolivia.</w:t>
            </w:r>
          </w:p>
        </w:tc>
      </w:tr>
      <w:tr w:rsidR="00F62955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Aplica los modelos de interés simple y compuesto en operaciones de capitalización, descuento y equivalencia financiera, considerando la variación de tasas, los periodos fraccionarios y la inflación en el contexto comercial boliviano.</w:t>
            </w:r>
          </w:p>
        </w:tc>
      </w:tr>
      <w:tr w:rsidR="00F62955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 Calcula el interés, el monto, el valor actual y el descuento de un capital a interés simple y compuesto, convirtiendo tasas nominales, efectivas y equivalentes según el periodo de capitalización.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ejercicios de capitalización y de descuento racional y comercial, y verifica los resultados en hoja de cálculo.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de capitalización y descuento a interés simple y compuesto.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1.2 Convierte en equipo tasas nominales, efectivas, equivalentes y de descuento de ofertas de crédito de entidades financieras.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de conversión de tasas nominales, efectivas y equivalentes.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 Aplica ecuaciones de valor y la actualización por inflación en la reprogramación de obligaciones, determinando el costo efectivo de la financiación vía proveedores.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2.1 Expone en equipo la reprogramación de una deuda comercial planteada con ecuaciones de valor.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reprogramación de una deuda con ecuaciones de valor.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2.2 Calcula en aula la tasa real de una operación y actualiza un monto en bolivianos con la Unidad de Fomento de Vivienda.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actualización de obligaciones con la Unidad de Fomento de Vivienda y cálculo de la tasa real.</w:t>
            </w:r>
          </w:p>
        </w:tc>
      </w:tr>
      <w:tr w:rsidR="00F6295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1: Operaciones a interés simple</w:t>
            </w:r>
          </w:p>
          <w:p w:rsidR="00F62955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2: Operaciones a interés compuesto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interés y la capitalización simple: fórmula del interés simple, montante y valor final de un capital.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Descuento simple y valor actual de un capital: descuento racional y descuento comercial.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Tipo de interés equivalente a tipo de descuento y tasas de recargo.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inflación y su efecto sobre el tipo de interés.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Actualización de montos con la inflación: Unidad de Fomento de Vivienda (UFV).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Vencimiento medio, vencimiento común y pagos parciales.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costo de la financiación vía proveedores.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Interés compuesto: capitalización y actualización para periodos enteros y fraccionarios.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Capitalización y actualización cuando varía el tipo de interés; fórmula general del interés compuesto.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Capitalización continua del interés.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Descuento racional y comercial compuesto.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Ecuaciones de valor equivalentes.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en Excel y casos prácticos, con la verificación y la trazabilidad de los cálculos.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Cómputo de días entre fechas con el año comercial y el año civil.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plazos y las condiciones de pago del comercio a crédito.</w:t>
            </w:r>
          </w:p>
        </w:tc>
      </w:tr>
      <w:tr w:rsidR="00F62955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Valora rentas constantes y variables en sus distintas modalidades, determinando su valor actual, su valor final y sus variables implícitas en operaciones de ahorro, crédito y financiamiento.</w:t>
            </w:r>
          </w:p>
        </w:tc>
      </w:tr>
      <w:tr w:rsidR="00F62955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 Calcula el valor actual y el valor final de rentas vencidas, anticipadas, diferidas y perpetuas, clasificándolas según su cuantía, su momento de pago y su duración.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casos de ahorro programado y de compras a plazo con rentas constantes.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valoración de rentas constantes vencidas, anticipadas, diferidas y perpetuas.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1.2 Determina en equipo la cuota, el plazo y la tasa implícita de una venta a plazos de una casa comercial.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Caso resuelto de venta a plazos con su cuota, su plazo y su tasa implícita.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 Valora rentas en progresión aritmética y geométrica, comparando su resultado con el de una renta constante para un mismo objetivo financiero.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2.1 Elabora en el laboratorio de cómputo un simulador de ahorro con escenarios de renta constante, aritmética y geométrica.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Simulador de ahorro con rentas constantes y variables.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2.2 Contrasta ante el curso una renta creciente y una renta constante aplicadas al pago de un arrendamiento.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rentas constantes y variables de un arrendamiento.</w:t>
            </w:r>
          </w:p>
        </w:tc>
      </w:tr>
      <w:tr w:rsidR="00F6295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3: Rentas o anualidades</w:t>
            </w:r>
          </w:p>
          <w:p w:rsidR="00F62955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Rentas en progresión aritmética</w:t>
            </w:r>
          </w:p>
          <w:p w:rsidR="00F62955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Rentas en progresión geométrica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Concepto y clasificación de las rentas.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Rentas enteras ciertas: valor actual y valor final.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Rentas anticipadas, vencidas y diferidas.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Rentas perpetuas y rentas generales.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Rentas en progresión aritmética enteras, ciertas y perpetuas: valor actual y valor final. (C, A)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Rentas en progresión aritmética anticipadas, vencidas y diferidas. (C, A)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Rentas en progresión geométrica enteras, ciertas y perpetuas: valor actual y valor final.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Rentas en progresión geométrica anticipadas, vencidas y diferidas.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en Excel y casos prácticos, con la verificación y la trazabilidad de los cálculos.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Modalidades de ahorro programado y de venta a plazos del comercio boliviano.</w:t>
            </w:r>
          </w:p>
        </w:tc>
      </w:tr>
      <w:tr w:rsidR="00F62955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3: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Estructura cuadros de amortización y fondos de amortización para préstamos y obligaciones, comparando los sistemas de reembolso y determinando el costo efectivo para el deudor.</w:t>
            </w:r>
          </w:p>
        </w:tc>
      </w:tr>
      <w:tr w:rsidR="00F62955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 Elabora cuadros de amortización bajo los sistemas francés, alemán y americano, incorporando periodos de gracia, tasas variables y amortizaciones anticipadas.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1.1 Construye en el laboratorio de cómputo el plan de pagos de un crédito de vivienda bajo tres sistemas de amortización.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Libro de hoja de cálculo con los cuadros de amortización de tres sistemas.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1.2 Calcula en aula el saldo insoluto y el tanto efectivo de un préstamo con sus comisiones y gastos.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saldo insoluto y del tanto efectivo de un préstamo.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 Diseña fondos de amortización con aportes constantes y variables, evaluando la conveniencia de renegociar una deuda.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2.1 Elabora en equipo la tabla de un fondo de amortización con aportes constantes y variables.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Tabla de un fondo de amortización con aportes constantes y variables.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2.2 Sustenta ante el curso la renegociación de una deuda en un caso simulado.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renegociación de deuda con la tabla reprogramada.</w:t>
            </w:r>
          </w:p>
        </w:tc>
      </w:tr>
      <w:tr w:rsidR="00F6295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Amortización</w:t>
            </w:r>
          </w:p>
          <w:p w:rsidR="00F62955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Fondos de amortización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Reembolso único o amortización a plazo fijo.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Reembolso único con pago periódico de intereses o sistema in fine.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Cuota de amortización constante.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Sistema francés con tipo de interés fijo, con plazo de carencia o periodo de gracia y con tipo de interés variable.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Sistema alemán.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Sistema americano con tipo de interés fijo y variable.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Amortización voluntaria de préstamos, derechos del acreedor y del deudor, y renegociación de una deuda.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Amortización con cuotas en progresión aritmética y geométrica. (C, A)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Tanto efectivo de los préstamos y su relación con la tasa de interés efectiva de las normas de contabilidad.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Tablas y sistemas de fondos de amortización.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Fondos de capitalización con aporte de cuota constante, cuota variable y cuota sin dirección.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Saldo insoluto en fondos de amortización.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en Excel y casos prácticos, con la verificación y la trazabilidad de los cálculos.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Lectura de un contrato de préstamo y de su plan de pagos.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historial crediticio y de la capacidad de pago del deudor.</w:t>
            </w:r>
          </w:p>
        </w:tc>
      </w:tr>
      <w:tr w:rsidR="00F62955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4: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la depreciación de activos fijos y el agotamiento de recursos naturales, aplicando métodos contables y financieros y contrastando su efecto en el valor en libros.</w:t>
            </w:r>
          </w:p>
        </w:tc>
      </w:tr>
      <w:tr w:rsidR="00F62955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 Calcula la depreciación de un activo fijo con los métodos de línea recta, suma de dígitos, interés compuesto, horas trabajadas y unidades producidas, determinando su valor en libros.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1.1 Compara en equipo los métodos de depreciación aplicados a un mismo activo y explica su efecto en el resultado del periodo.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métodos de depreciación con el gráfico del valor en libros.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en el laboratorio de cómputo la planilla de depreciación de los bienes de uso de una empresa.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depreciación de los bienes de uso de una empresa.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 Calcula el agotamiento de recursos naturales y el fondo de reposición de un activo, relacionando la depreciación con la reposición del bien.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2.1 Resuelve en aula un caso de agotamiento de un yacimiento minero en función de las unidades extraídas.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de agotamiento de un yacimiento minero.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2.2 Determina en equipo el aporte periódico del fondo que repone un activo al término de su vida útil.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Plan del fondo de reposición de un activo fijo.</w:t>
            </w:r>
          </w:p>
        </w:tc>
      </w:tr>
      <w:tr w:rsidR="00F6295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8: Depreciación y agotamiento de recursos naturales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Valor en libros del activo.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Vida útil, valor residual y revisión del método de depreciación según la NIC 16.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Métodos de depreciación: línea recta, depreciación acelerada y suma de los dígitos.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Depreciación por interés compuesto.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Depreciación por horas trabajadas y por unidades producidas.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Fondos de amortización para la reposición de activos.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Agotamiento de recursos naturales y uso sostenible del recurso. (C)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en Excel y casos prácticos, con la verificación y la trazabilidad de los cálculos.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desgaste físico y de obsolescencia técnica de la maquinaria y los equipos.</w:t>
            </w:r>
          </w:p>
        </w:tc>
      </w:tr>
      <w:tr w:rsidR="00F62955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Evalúa inversiones y títulos valores del mercado financiero boliviano, determinando su valor, su rendimiento y su costo efectivo con las tasas vigentes del sistema financiero nacional.</w:t>
            </w:r>
          </w:p>
        </w:tc>
      </w:tr>
      <w:tr w:rsidR="00F62955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Evalúa bonos, acciones y proyectos de inversión, determinando su precio, su rendimiento, el VAN, la TIR, el periodo de recuperación y el CAUE.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1.1 Analiza en equipo una emisión de bonos inscrita en la Bolsa Boliviana de Valores y determina su precio teórico.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precio teórico y del rendimiento de un bono.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1.2 Defiende ante el curso la decisión de inversión de un proyecto con su flujo de caja, VAN, TIR, periodo de recuperación y CAUE.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financiera de un proyecto de inversión.</w:t>
            </w:r>
          </w:p>
        </w:tc>
      </w:tr>
      <w:tr w:rsidR="00F6295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 Diferencia las tasas activas, pasivas, nominales, efectivas, de referencia, penales y reales del sistema financiero nacional, calculando la tasa efectiva al cliente con sus cargos y comisiones.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2.1 Compara en el laboratorio de cómputo las tasas activas y pasivas de tres entidades financieras.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tasas activas y pasivas de tres entidades financieras.</w:t>
            </w:r>
          </w:p>
        </w:tc>
      </w:tr>
      <w:tr w:rsidR="00F6295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2.2 Calcula en aula la tasa efectiva al cliente de un crédito de consumo con sus cargos y comisiones.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tasa efectiva al cliente de un crédito de consumo.</w:t>
            </w:r>
          </w:p>
        </w:tc>
      </w:tr>
      <w:tr w:rsidR="00F6295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14658F" w:rsidRPr="007D7567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9: </w:t>
            </w:r>
            <w:r w:rsidR="0014658F"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a la Bolsa de Valores</w:t>
            </w:r>
          </w:p>
          <w:p w:rsidR="00F62955" w:rsidRPr="007D7567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10: Valoración de bonos y acciones</w:t>
            </w:r>
          </w:p>
          <w:p w:rsidR="00F62955" w:rsidRPr="007D7567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Tema 11: Criterios de valoración de inversiones</w:t>
            </w:r>
          </w:p>
          <w:p w:rsidR="00F62955" w:rsidRPr="007D7567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Tema 12: Tasas del sistema financiero nacional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1C1718" w:rsidRPr="001C1718" w:rsidRDefault="0014658F" w:rsidP="001C1718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Fundamentos del mercado de valores: concepto, función económica y diferencia entre el mercado financiero (bancos) y el mercado bursátil.</w:t>
            </w:r>
            <w:r w:rsidR="001C17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 </w:t>
            </w:r>
          </w:p>
          <w:p w:rsidR="001C1718" w:rsidRPr="001C1718" w:rsidRDefault="001C1718" w:rsidP="001C1718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Simulador de inversiones en bolsa. (T)</w:t>
            </w:r>
          </w:p>
          <w:p w:rsidR="00F62955" w:rsidRPr="007D7567" w:rsidRDefault="00EB0363" w:rsidP="001C1718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C1718">
              <w:rPr>
                <w:rFonts w:ascii="Century Gothic" w:hAnsi="Century Gothic" w:cs="Century Gothic" w:eastAsia="Century Gothic"/>
                <w:sz w:val="18"/>
                <w:szCs w:val="18"/>
              </w:rPr>
              <w:t>Valoración de bonos: precio bajo la par, a la par y sobre la par. (P)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Tipos de bonos y tasa de rendimiento.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valor de bonos y riesgo de tasa de interés. (P)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Valoración de acciones. (P)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Periodo de recuperación de la inversión (</w:t>
            </w:r>
            <w:proofErr w:type="spellStart"/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payback</w:t>
            </w:r>
            <w:proofErr w:type="spellEnd"/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).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Valor Actual Neto (VAN) y su representación gráfica.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Tasa Interna de Retorno (TIR).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Costo Anual Uniforme Equivalente (CAUE).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sensibilidad y riesgo de un proyecto de inversión. (P)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Tasa de interés activa y pasiva, nominal y efectiva.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Consolidación de tasas de interés y tasa de interés efectiva al cliente.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Tasa de interés de referencia, tasa de interés penal y tasa de interés real. (C)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Transparencia de la información y protección del consumidor financiero en el cálculo de tasas y cargos. (P, A)</w:t>
            </w:r>
          </w:p>
          <w:p w:rsidR="00F62955" w:rsidRPr="007D7567" w:rsidRDefault="00EB0363" w:rsidP="00D929B1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en Excel y casos prácticos, con la verificación y la trazabilidad de los cálculos.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Lectura de boletines de cotizaciones de valores de renta fija.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6295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Actividades</w:t>
            </w:r>
          </w:p>
        </w:tc>
      </w:tr>
      <w:tr w:rsidR="00F62955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F62955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del valor del dinero en el tiempo con operaciones del comercio boliviano.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de interés, rentas y amortización con diagramas de tiempo.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hoja de cálculo de las funciones financieras VF, VA, PAGO, TASA, VNA y TIR.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planes de pagos y de ofertas de crédito de entidades financieras.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 elección de la fórmula según el tipo de operación.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guías de ejercicios al cierre de cada tema.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 normativa de la ASFI sobre tasas de interés.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Construcción progresiva de un libro personal de hoja de cálculo financiera.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ejercicios resueltos.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funciones financieras de Excel.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Laboratorio de hoja de cálculo por tema.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casos prácticos.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Simulación de negociación de una deuda entre acreedor y deudor.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Recopilación de tasas vigentes de entidades financieras.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prospectos de emisión de la Bolsa Boliviana de Valores.</w:t>
            </w:r>
          </w:p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plan de pagos real de un crédito.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del sistema financiero boliviano.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Laboratorio de hoja de cálculo aplicado a cada tema.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reales de crédito, ahorro e inversión.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análisis.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normativos sobre tasas de interés.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Hoja de cálculo Microsoft Excel o Google </w:t>
            </w: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Sheets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funciones financieras.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Calculadora científica o financiera.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Portales institucionales de la ASFI, el Banco Central de Bolivia, la Bolsa Boliviana de Valores y el INE.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de álgebra, porcentajes y progresiones.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Evaluación </w:t>
            </w: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sumativa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: controles de lectura y asistencia, evaluación de casos prácticos, trabajos de investigación y desarrollo, exámenes parciales y examen final.</w:t>
            </w:r>
          </w:p>
        </w:tc>
      </w:tr>
      <w:tr w:rsidR="00F62955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Cada evidencia de producto se evalúa con su propia rúbrica de tres niveles: Insuficiente, Suficiente y Destacado.</w:t>
            </w:r>
          </w:p>
          <w:p w:rsidR="00F62955" w:rsidRPr="00D929B1" w:rsidRDefault="00EB0363" w:rsidP="00D929B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F62955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Hoja de capitalización y descuento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Fórmulas aplicadas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Confunde el interés simple con el compuesto.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Aplica la fórmula que corresponde a cada operación.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diferencia de resultados entre ambos regímenes.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Descuento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Confunde el descuento racional con el comercial.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ambos descuentos y el valor líquido.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 el costo efectivo de cada descuento.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Funciones financieras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Usa mal los argumentos de VF, VA, TASA o NPER.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cálculos con las funciones financieras.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Deja trazables los datos y las fórmulas.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de conversión de tasas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Periodo de capitalización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Ignora la frecuencia de capitalización.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frecuencia de cada tasa.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Advierte el efecto de la frecuencia en el costo.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Conversión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Las tasas convertidas son incorrectas.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Convierte correctamente las tasas.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Comprueba la equivalencia con un mismo capital.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cuadro está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equipo presenta el cuadro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equipo recomienda la oferta más conveniente.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reprogramación con ecuaciones de valor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Fecha focal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fija una fecha focal.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Plantea la ecuación de valor en una fecha focal.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Muestra que el resultado no depende de la fecha en régimen compuesto.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Nuevos pagos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Los pagos calculados no equivalen a la deuda.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Determina los pagos equivalentes.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 alternativas de reprogramación.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planteamiento con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actualización con la Unidad de Fomento de Vivienda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Actualización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Usa valores de la Unidad de Fomento de Vivienda de fechas erradas.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Actualiza el monto con los valores de las fechas correctas.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Cita la fuente oficial de los valores empleados.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Tasa real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Resta la inflación de la tasa nominal sin justificar.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la tasa real con la fórmula correcta.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pérdida o ganancia de poder adquisitivo.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Costo de proveedores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Omite el costo del crédito comercial.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el costo efectivo de no tomar el descuento por pronto pago.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Recomienda la mejor forma de pago.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rentas constantes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 renta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el tipo de renta.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Identifica correctamente cada tipo de renta.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Explica cómo cambia el valor según el momento de pago.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Valor actual y final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Aplica factores que no corresponden.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el valor actual y el final.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valores en hoja de cálculo.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Orden del desarrollo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desarrollo es desordenado.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datos, la fórmula y el resultado.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Incluye un diagrama de tiempo en cada caso.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Caso de venta a plazos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Cuota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cuota calculada es incorrecta.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cuota de la venta a plazos.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 la cuota con el precio al contado.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Tasa implícita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determina la tasa implícita.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la tasa implícita de la operación.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Advierte el costo oculto de la venta a plazos.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Pocos integrantes participan.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 al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una recomendación al comprador.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Simulador de ahorro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Escenarios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Incluye un solo escenario.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Modela los tres tipos de renta.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Permite cambiar la razón y la tasa con facilidad.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Las fórmulas no reproducen la progresión.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cada escenario.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Comprueba los resultados con una tabla período a período.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simulador es difícil de leer.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simulador es claro y ordenado.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Incluye un gráfico comparativo de los escenarios.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rentas de un arrendamiento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Valor de cada renta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 rentas con tasas distintas.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Valora ambas rentas con la misma tasa.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Explica por qué difieren los valores.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Conclusión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extrae conclusión.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Señala la alternativa de menor costo.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Considera la capacidad de pago del arrendatario.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sustentación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Sustenta la comparación con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Cuadros de amortización de tres sistemas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cuadro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Faltan columnas de interés, amortización o saldo.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Cada cuadro tiene todas sus columnas.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Incluye el total de intereses de cada sistema.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cuota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cuota no extingue la deuda.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Las cuotas extinguen la deuda en el plazo.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Incorpora un periodo de gracia o una tasa variable.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compara los sistemas.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 el costo financiero total.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Ilustra la comparación con un gráfico.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saldo insoluto y del tanto efectivo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Saldo insoluto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saldo no coincide con el cuadro.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el saldo en la fecha pedida.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Lo obtiene por el método retrospectivo y el prospectivo.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Tanto efectivo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Ignora comisiones y gastos.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Incluye comisiones y gastos en el tanto efectivo.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resultado con la tasa de interés efectiva contable.</w:t>
            </w:r>
          </w:p>
        </w:tc>
      </w:tr>
      <w:tr w:rsidR="00F62955" w:rsidRPr="00D929B1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Verifica el resultado con la función TIR.</w:t>
            </w:r>
          </w:p>
        </w:tc>
      </w:tr>
      <w:tr w:rsidR="00F62955" w:rsidRPr="00D929B1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Tabla de fondo de amortización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 w:rsidRPr="00D929B1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 w:rsidRPr="00D929B1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Aporte periódico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aporte no alcanza el monto objetivo.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el aporte que reúne el monto.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 aportes constantes y variables.</w:t>
            </w:r>
          </w:p>
        </w:tc>
      </w:tr>
      <w:tr w:rsidR="00F62955" w:rsidRPr="00D929B1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Saldo del fondo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saldo acumulado tiene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tabla muestra el saldo de cada periodo.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el saldo insoluto en una fecha intermedia.</w:t>
            </w:r>
          </w:p>
        </w:tc>
      </w:tr>
      <w:tr w:rsidR="00F62955" w:rsidRPr="00D929B1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tabla está incompleta.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equipo presenta la tabla completa.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equipo revisa la coherencia de los totales.</w:t>
            </w:r>
          </w:p>
        </w:tc>
      </w:tr>
      <w:tr w:rsidR="00F62955" w:rsidRPr="00D929B1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renegociación de deuda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Situación inicial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determina el saldo a renegociar.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saldo y las condiciones vigentes.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causa del problema de pago.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Tabla reprogramada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nueva tabla no cuadra con el saldo.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Presenta la tabla con las nuevas condiciones.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 el costo de la deuda antes y después.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Ética y claridad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Oculta condiciones desfavorables al deudor.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Expone con transparencia las condiciones.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Recomienda la opción más equitativa para ambas partes.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métodos de depreciación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métodos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Aplica mal algún método.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la depreciación con cada método.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Explica cuándo conviene cada método.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Valor en libros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valor en libros no llega al valor residual.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valor en libros de cada año.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Grafica la evolución del valor en libros.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Efecto en el resultado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analiza el efecto.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Señala el efecto de cada método en el resultado.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efecto con la vida útil y el valor residual.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depreciación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7D756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Datos de los bienes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Faltan datos de costo o de vida útil.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Registra el costo, la vida útil y el valor residual.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bienes por rubro.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Las fórmulas tienen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la depreciación anual y la acumulada.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Controla que la acumulada no exceda el costo.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planilla es desordenada.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planilla es clara y completa.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Incluye totales por rubro.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de agotamiento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Tasa de agotamiento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costo por unidad.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de agotamiento por unidad.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Ajusta la tasa ante una nueva estimación de reservas.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Agotamiento del periodo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el agotamiento con lo extraído.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el agotamiento de cada periodo.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resultado con el uso sostenible del recurso.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Cuadra el agotamiento acumulado con el costo total.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Plan del fondo de reposición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Monto de reposición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estima el costo futuro del activo.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Estima el monto necesario para la reposición.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Considera el efecto de la inflación en el costo futuro.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Aporte periódico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aporte no reúne el monto.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el aporte periódico correcto.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 el aporte con la depreciación anual.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Pocos integrantes participan.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 al plan.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equipo propone el momento óptimo de reposición.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precio de un bono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Flujos del bono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Omite cupones o el valor nominal.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cupones y el valor nominal.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Explica las condiciones del prospecto de emisión.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Precio teórico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Descuenta con una tasa equivocada.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Determina si el bono se cotiza bajo, a o sobre la par.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Mide el efecto de un cambio de tasa en el precio.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Rendimiento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calcula el rendimiento.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la tasa de rendimiento del bono.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rendimiento con otras alternativas.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de un proyecto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Flujo de caja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flujo omite inversiones o ingresos.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Presenta el flujo de caja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Explica los supuestos del flujo.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Indicadores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algún indicador.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el VAN, la TIR, el periodo de recuperación y el CAUE.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Analiza la sensibilidad del VAN ante la tasa y los flujos.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Decisión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decisión contradice los indicadores.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Toma la decisión que sustentan los indicadores.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Advierte los riesgos del proyecto.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tasas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Fuente de datos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indica la fuente ni la fecha.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Usa datos oficiales con su fecha.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Explica las diferencias entre entidades.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tasas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Confunde tasas nominales y efectivas.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Clasifica correctamente cada tasa.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el margen entre tasas activas y pasivas.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ordenado.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Incluye un gráfico comparativo.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tasa efectiva al cliente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Cargos incluidos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Omite cargos o comisiones.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Incluye todos los cargos y comisiones.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cargos obligatorios de los opcionales.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tasa calculada es incorrecta.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 tasa efectiva.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 compara con la tasa nominal pactada.</w:t>
            </w:r>
          </w:p>
        </w:tc>
      </w:tr>
      <w:tr w:rsidR="00F62955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Protección del consumidor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No comenta la transparencia del crédito.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Señala la información que debe recibir el cliente.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Propone cómo explicar el costo real al cliente.</w:t>
            </w:r>
          </w:p>
        </w:tc>
      </w:tr>
      <w:tr w:rsidR="00F62955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Default="00F62955" w:rsidP="00D929B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:rsidR="00F62955" w:rsidRPr="00D929B1" w:rsidRDefault="00EB0363" w:rsidP="00D929B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62955" w:rsidRPr="00D929B1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:rsidR="00F62955" w:rsidRPr="00D929B1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Aguirre, V. (2021).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Apuntes de Matemáticas Financieras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s/e.</w:t>
            </w:r>
          </w:p>
          <w:p w:rsidR="00F62955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Alvarado </w:t>
            </w: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Ralde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H. (2011).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Financieras con Excel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s/e.</w:t>
            </w:r>
          </w:p>
          <w:p w:rsidR="000E161C" w:rsidRDefault="000E161C" w:rsidP="001C171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Autoridad de Supervisión del Sistema Financiero, ASFI. Recopilación de Normas para Servicios Financieros. La Paz – Bolivia.</w:t>
            </w:r>
          </w:p>
          <w:p w:rsidR="001C1718" w:rsidRPr="00D929B1" w:rsidRDefault="001C1718" w:rsidP="001C171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14379.</w:t>
            </w:r>
          </w:p>
          <w:p w:rsidR="007743E2" w:rsidRDefault="007743E2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Layme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Llanos, M. (2018).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Financieras I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s/e.</w:t>
            </w:r>
          </w:p>
          <w:p w:rsidR="001C1718" w:rsidRDefault="001C1718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N°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1834 Mercado de valores, 31 de marzo de 1998.</w:t>
            </w:r>
          </w:p>
          <w:p w:rsidR="001C1718" w:rsidRDefault="001C1718" w:rsidP="001C171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Ley N° 393 de Servicios Financieros, de 21 de agosto de 2013.</w:t>
            </w:r>
          </w:p>
          <w:p w:rsidR="001C1718" w:rsidRPr="00D929B1" w:rsidRDefault="001C1718" w:rsidP="001C171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Mejillones Rodríguez, E. (2014).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Financieras y Actuariales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s/e.</w:t>
            </w:r>
          </w:p>
          <w:p w:rsidR="007743E2" w:rsidRPr="00D929B1" w:rsidRDefault="007743E2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Portus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L. (1997).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Financieras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 Bogotá – Colombia: McGraw-Hill.</w:t>
            </w:r>
          </w:p>
          <w:p w:rsidR="001C1718" w:rsidRPr="000E161C" w:rsidRDefault="007743E2" w:rsidP="000E161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Vargas Sánchez, A. (2021). El Mercado de Valores en Bolivia: Financiamiento, Inversión Óptima y Análisis de Resultados. La Paz – B</w:t>
            </w:r>
            <w:r w:rsidR="000E161C">
              <w:rPr>
                <w:rFonts w:ascii="Century Gothic" w:hAnsi="Century Gothic" w:cs="Century Gothic" w:eastAsia="Century Gothic"/>
                <w:sz w:val="18"/>
                <w:szCs w:val="18"/>
              </w:rPr>
              <w:t>olivia: s/e.</w:t>
            </w:r>
          </w:p>
        </w:tc>
      </w:tr>
      <w:tr w:rsidR="00F62955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62955" w:rsidRPr="00D929B1" w:rsidRDefault="00EB0363" w:rsidP="00D929B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:rsidR="00F62955" w:rsidRPr="00D929B1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Álvarez A., A. (s.f.).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Financieras y temas afines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s/e.</w:t>
            </w:r>
          </w:p>
          <w:p w:rsidR="00F62955" w:rsidRPr="00D929B1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Blank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L. y </w:t>
            </w: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Tarquin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A. (2012).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Ingeniería Económica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 México D.F.: McGraw-Hill.</w:t>
            </w:r>
          </w:p>
          <w:p w:rsidR="00F62955" w:rsidRPr="00D929B1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(IASB). NIC 16 Propiedades, planta y equipo.</w:t>
            </w:r>
          </w:p>
          <w:p w:rsidR="00F62955" w:rsidRPr="00D929B1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24051, Reglamento del Impuesto sobre las Utilidades de las Empresas, de 29 de junio de 1995.</w:t>
            </w:r>
          </w:p>
          <w:p w:rsidR="00F62955" w:rsidRPr="00D929B1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García, J. (2005).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Financieras con ecuaciones de diferencia finita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 Bogotá – Colombia: Pearson.</w:t>
            </w:r>
          </w:p>
          <w:p w:rsidR="00F62955" w:rsidRPr="00D929B1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Gitman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L. y </w:t>
            </w: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Zutter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C. (2012).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Principios de administración financiera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 México: Pearson Educación.</w:t>
            </w:r>
          </w:p>
          <w:p w:rsidR="00F62955" w:rsidRPr="00D929B1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Mokate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K. (1998). </w:t>
            </w:r>
            <w:r w:rsidRPr="00D929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Evaluación Financiera de Proyectos de Inversión</w:t>
            </w: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Bogotá – Colombia: Ediciones </w:t>
            </w:r>
            <w:proofErr w:type="spellStart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Uniandes</w:t>
            </w:r>
            <w:proofErr w:type="spellEnd"/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:rsidR="00F62955" w:rsidRPr="00D929B1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Páginas de internet: www.asfi.gob.bo, www.bcb.gob.bo y www.bbv.com.bo.</w:t>
            </w:r>
          </w:p>
          <w:p w:rsidR="00F62955" w:rsidRDefault="00EB0363" w:rsidP="00D929B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9B1">
              <w:rPr>
                <w:rFonts w:ascii="Century Gothic" w:hAnsi="Century Gothic" w:cs="Century Gothic" w:eastAsia="Century Gothic"/>
                <w:sz w:val="18"/>
                <w:szCs w:val="18"/>
              </w:rPr>
              <w:t>Resoluciones del Directorio del Banco Central de Bolivia y circulares de la ASFI sobre tasas de interés.</w:t>
            </w:r>
          </w:p>
        </w:tc>
      </w:tr>
    </w:tbl>
    <w:p w:rsidR="00F106DC" w:rsidRPr="00864236" w:rsidRDefault="00F106DC" w:rsidP="00F106DC">
      <w:pPr>
        <w:pStyle w:val="NormalWeb"/>
        <w:spacing w:before="280" w:beforeAutospacing="0" w:after="140" w:afterAutospacing="0" w:line="240" w:lineRule="auto"/>
        <w:rPr>
          <w:rFonts w:ascii="Century Gothic" w:hAnsi="Century Gothic" w:cs="Century Gothic" w:eastAsia="Century Gothic"/>
          <w:sz w:val="20"/>
          <w:szCs w:val="20"/>
          <w:lang w:val="es-BO"/>
        </w:rPr>
      </w:pPr>
      <w:r w:rsidRPr="00864236">
        <w:rPr>
          <w:rFonts w:ascii="Century Gothic" w:hAnsi="Century Gothic" w:cs="Century Gothic" w:eastAsia="Century Gothic"/>
          <w:b/>
          <w:bCs/>
          <w:sz w:val="20"/>
          <w:szCs w:val="20"/>
          <w:lang w:val="es-BO"/>
        </w:rPr>
        <w:lastRenderedPageBreak/>
        <w:t>Firmas</w:t>
      </w:r>
    </w:p>
    <w:p w:rsidR="00F106DC" w:rsidRPr="00864236" w:rsidRDefault="00F106DC" w:rsidP="00F106DC">
      <w:pPr>
        <w:pStyle w:val="NormalWeb"/>
        <w:spacing w:before="0" w:beforeAutospacing="0" w:after="120" w:afterAutospacing="0" w:line="240" w:lineRule="auto"/>
        <w:jc w:val="both"/>
        <w:rPr>
          <w:rFonts w:ascii="Century Gothic" w:hAnsi="Century Gothic" w:cs="Century Gothic" w:eastAsia="Century Gothic"/>
          <w:sz w:val="20"/>
          <w:szCs w:val="20"/>
          <w:lang w:val="es-BO"/>
        </w:rPr>
      </w:pPr>
      <w:r w:rsidRPr="00864236">
        <w:rPr>
          <w:rFonts w:ascii="Century Gothic" w:hAnsi="Century Gothic" w:cs="Century Gothic" w:eastAsia="Century Gothic"/>
          <w:sz w:val="20"/>
          <w:szCs w:val="20"/>
          <w:lang w:val="es-BO"/>
        </w:rPr>
        <w:t>En constancia de conformidad con lo revisado y acordado, firman: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115"/>
        <w:gridCol w:w="2352"/>
        <w:gridCol w:w="1936"/>
      </w:tblGrid>
      <w:tr w:rsidR="00F106DC" w:rsidRPr="00864236" w:rsidTr="00191AA7"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:rsidR="00F106DC" w:rsidRPr="00864236" w:rsidRDefault="00F106DC" w:rsidP="00191AA7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:rsidR="00F106DC" w:rsidRPr="00864236" w:rsidRDefault="00F106DC" w:rsidP="00191AA7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:rsidR="00F106DC" w:rsidRPr="00864236" w:rsidRDefault="00F106DC" w:rsidP="00191AA7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Firma</w:t>
            </w:r>
          </w:p>
        </w:tc>
      </w:tr>
      <w:tr w:rsidR="00F106DC" w:rsidRPr="00864236" w:rsidTr="00F106D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Esperanza </w:t>
            </w:r>
            <w:proofErr w:type="spellStart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>Mejillones</w:t>
            </w:r>
            <w:proofErr w:type="spellEnd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Rodriguez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F106DC" w:rsidRPr="00864236" w:rsidTr="00F106D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0" w:line="240" w:lineRule="auto"/>
              <w:textAlignment w:val="baseline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>Luis Enrique Hinojosa Rodríguez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F106DC" w:rsidRPr="00864236" w:rsidTr="00F106D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0" w:line="240" w:lineRule="auto"/>
              <w:textAlignment w:val="baseline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Magna </w:t>
            </w:r>
            <w:proofErr w:type="spellStart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>Rosmary</w:t>
            </w:r>
            <w:proofErr w:type="spellEnd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>Layme</w:t>
            </w:r>
            <w:proofErr w:type="spellEnd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Llanos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F106DC" w:rsidRPr="00864236" w:rsidTr="00F106D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0" w:line="240" w:lineRule="auto"/>
              <w:textAlignment w:val="baseline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Erik Álvaro </w:t>
            </w:r>
            <w:proofErr w:type="spellStart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>Mamani</w:t>
            </w:r>
            <w:proofErr w:type="spellEnd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>Callisaya</w:t>
            </w:r>
            <w:proofErr w:type="spellEnd"/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F106DC" w:rsidRPr="00864236" w:rsidTr="00F106D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:rsidR="00F106DC" w:rsidRPr="003A5FBF" w:rsidRDefault="00F106DC" w:rsidP="00F106DC">
            <w:pPr>
              <w:pStyle w:val="NormalWeb"/>
              <w:spacing w:after="0" w:line="240" w:lineRule="auto"/>
              <w:textAlignment w:val="baseline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Vicente Waldo Aguirre </w:t>
            </w:r>
            <w:proofErr w:type="spellStart"/>
            <w:r w:rsidRPr="003A5FBF">
              <w:rPr>
                <w:rFonts w:ascii="Century Gothic" w:hAnsi="Century Gothic" w:cs="Century Gothic" w:eastAsia="Century Gothic"/>
                <w:sz w:val="18"/>
                <w:szCs w:val="18"/>
              </w:rPr>
              <w:t>Tarquino</w:t>
            </w:r>
            <w:proofErr w:type="spellEnd"/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F106DC" w:rsidRPr="00864236" w:rsidTr="00F106D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:rsidR="00F106DC" w:rsidRDefault="00F106DC" w:rsidP="00F106DC">
            <w:pPr>
              <w:pStyle w:val="NormalWeb"/>
              <w:spacing w:before="0" w:beforeAutospacing="0" w:after="4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bookmarkStart w:id="0" w:name="_GoBack" w:colFirst="0" w:colLast="0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Sandra Alison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Maidana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Mamani</w:t>
            </w:r>
            <w:proofErr w:type="spellEnd"/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bookmarkEnd w:id="0"/>
      <w:tr w:rsidR="00F106DC" w:rsidRPr="00864236" w:rsidTr="00F106DC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:rsidR="00F106DC" w:rsidRPr="00F106DC" w:rsidRDefault="00F106DC" w:rsidP="00F106DC">
            <w:pPr>
              <w:pStyle w:val="NormalWeb"/>
              <w:spacing w:before="0" w:beforeAutospacing="0" w:after="40" w:afterAutospacing="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</w:pPr>
            <w:proofErr w:type="spellStart"/>
            <w:r w:rsidRPr="00F106DC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Maria</w:t>
            </w:r>
            <w:proofErr w:type="spellEnd"/>
            <w:r w:rsidRPr="00F106DC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 Joaquina</w:t>
            </w:r>
            <w:r w:rsidRPr="00F106DC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 </w:t>
            </w:r>
            <w:r w:rsidRPr="00F106DC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Salinas Terceros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:rsidR="00F106DC" w:rsidRPr="00864236" w:rsidRDefault="00F106DC" w:rsidP="00F106DC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p w:rsidR="00EB0363" w:rsidRDefault="00EB0363" w:rsidP="00D929B1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EB0363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550" w:rsidRDefault="00A91550">
      <w:r>
        <w:separator/>
      </w:r>
    </w:p>
  </w:endnote>
  <w:endnote w:type="continuationSeparator" w:id="0">
    <w:p w:rsidR="00A91550" w:rsidRDefault="00A91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550" w:rsidRDefault="00A91550">
      <w:r>
        <w:separator/>
      </w:r>
    </w:p>
  </w:footnote>
  <w:footnote w:type="continuationSeparator" w:id="0">
    <w:p w:rsidR="00A91550" w:rsidRDefault="00A9155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5212F"/>
    <w:multiLevelType w:val="multilevel"/>
    <w:tmpl w:val="94726A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cs="Century Gothic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C6836"/>
    <w:multiLevelType w:val="hybridMultilevel"/>
    <w:tmpl w:val="7032A0EE"/>
    <w:lvl w:ilvl="0" w:tplc="39C6EB32">
      <w:start w:val="1"/>
      <w:numFmt w:val="decimal"/>
      <w:lvlText w:val="%1."/>
      <w:lvlJc w:val="left"/>
      <w:pPr>
        <w:ind w:left="400" w:hanging="380"/>
      </w:pPr>
    </w:lvl>
    <w:lvl w:ilvl="1" w:tplc="86C815A8">
      <w:numFmt w:val="decimal"/>
      <w:lvlText w:val=""/>
      <w:lvlJc w:val="left"/>
    </w:lvl>
    <w:lvl w:ilvl="2" w:tplc="3EEE82A8">
      <w:numFmt w:val="decimal"/>
      <w:lvlText w:val=""/>
      <w:lvlJc w:val="left"/>
    </w:lvl>
    <w:lvl w:ilvl="3" w:tplc="FE2EAD90">
      <w:numFmt w:val="decimal"/>
      <w:lvlText w:val=""/>
      <w:lvlJc w:val="left"/>
    </w:lvl>
    <w:lvl w:ilvl="4" w:tplc="12746A24">
      <w:numFmt w:val="decimal"/>
      <w:lvlText w:val=""/>
      <w:lvlJc w:val="left"/>
    </w:lvl>
    <w:lvl w:ilvl="5" w:tplc="64102DEE">
      <w:numFmt w:val="decimal"/>
      <w:lvlText w:val=""/>
      <w:lvlJc w:val="left"/>
    </w:lvl>
    <w:lvl w:ilvl="6" w:tplc="60DC401E">
      <w:numFmt w:val="decimal"/>
      <w:lvlText w:val=""/>
      <w:lvlJc w:val="left"/>
    </w:lvl>
    <w:lvl w:ilvl="7" w:tplc="2CF65448">
      <w:numFmt w:val="decimal"/>
      <w:lvlText w:val=""/>
      <w:lvlJc w:val="left"/>
    </w:lvl>
    <w:lvl w:ilvl="8" w:tplc="AB68610E">
      <w:numFmt w:val="decimal"/>
      <w:lvlText w:val=""/>
      <w:lvlJc w:val="left"/>
    </w:lvl>
  </w:abstractNum>
  <w:abstractNum w:abstractNumId="2" w15:restartNumberingAfterBreak="0">
    <w:nsid w:val="3E602885"/>
    <w:multiLevelType w:val="multilevel"/>
    <w:tmpl w:val="50F645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cs="Century Gothic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C071D"/>
    <w:multiLevelType w:val="hybridMultilevel"/>
    <w:tmpl w:val="1FE4DCD8"/>
    <w:lvl w:ilvl="0" w:tplc="CDFE3BAC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B4B8AA26">
      <w:numFmt w:val="decimal"/>
      <w:lvlText w:val=""/>
      <w:lvlJc w:val="left"/>
    </w:lvl>
    <w:lvl w:ilvl="2" w:tplc="26E22EF4">
      <w:numFmt w:val="decimal"/>
      <w:lvlText w:val=""/>
      <w:lvlJc w:val="left"/>
    </w:lvl>
    <w:lvl w:ilvl="3" w:tplc="B75E09B0">
      <w:numFmt w:val="decimal"/>
      <w:lvlText w:val=""/>
      <w:lvlJc w:val="left"/>
    </w:lvl>
    <w:lvl w:ilvl="4" w:tplc="0AF22922">
      <w:numFmt w:val="decimal"/>
      <w:lvlText w:val=""/>
      <w:lvlJc w:val="left"/>
    </w:lvl>
    <w:lvl w:ilvl="5" w:tplc="648243B6">
      <w:numFmt w:val="decimal"/>
      <w:lvlText w:val=""/>
      <w:lvlJc w:val="left"/>
    </w:lvl>
    <w:lvl w:ilvl="6" w:tplc="FE2A401E">
      <w:numFmt w:val="decimal"/>
      <w:lvlText w:val=""/>
      <w:lvlJc w:val="left"/>
    </w:lvl>
    <w:lvl w:ilvl="7" w:tplc="2CA04B14">
      <w:numFmt w:val="decimal"/>
      <w:lvlText w:val=""/>
      <w:lvlJc w:val="left"/>
    </w:lvl>
    <w:lvl w:ilvl="8" w:tplc="C76063B4">
      <w:numFmt w:val="decimal"/>
      <w:lvlText w:val=""/>
      <w:lvlJc w:val="left"/>
    </w:lvl>
  </w:abstractNum>
  <w:abstractNum w:abstractNumId="4" w15:restartNumberingAfterBreak="0">
    <w:nsid w:val="5E3A14FD"/>
    <w:multiLevelType w:val="hybridMultilevel"/>
    <w:tmpl w:val="DC7879E0"/>
    <w:lvl w:ilvl="0" w:tplc="19D449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87464DA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684A4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8CBF1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5B8EEB4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AF723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25A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89EC908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01E2B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955"/>
    <w:rsid w:val="000431C7"/>
    <w:rsid w:val="000E161C"/>
    <w:rsid w:val="000F1796"/>
    <w:rsid w:val="0014658F"/>
    <w:rsid w:val="001C1718"/>
    <w:rsid w:val="00583C82"/>
    <w:rsid w:val="007077C8"/>
    <w:rsid w:val="007743E2"/>
    <w:rsid w:val="007D7567"/>
    <w:rsid w:val="00A91550"/>
    <w:rsid w:val="00B26E74"/>
    <w:rsid w:val="00C845C9"/>
    <w:rsid w:val="00D929B1"/>
    <w:rsid w:val="00EB0363"/>
    <w:rsid w:val="00F106DC"/>
    <w:rsid w:val="00F46DC2"/>
    <w:rsid w:val="00F6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87B2"/>
  <w15:docId w15:val="{EF109A09-F89D-4BC5-9F5D-89312E1A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NormalWeb">
    <w:name w:val="Normal (Web)"/>
    <w:basedOn w:val="Normal"/>
    <w:uiPriority w:val="99"/>
    <w:unhideWhenUsed/>
    <w:rsid w:val="00F106DC"/>
    <w:pPr>
      <w:spacing w:before="100" w:beforeAutospacing="1" w:after="100" w:afterAutospacing="1"/>
    </w:pPr>
    <w:rPr>
      <w:rFonts w:ascii="Century Gothic" w:hAnsi="Century Gothic" w:cs="Century Gothic" w:eastAsia="Century Gothic"/>
      <w:sz w:val="24"/>
      <w:szCs w:val="24"/>
      <w:lang w:val="en-US" w:eastAsia="en-US"/>
    </w:rPr>
  </w:style>
  <w:style w:type="table" w:styleId="Tablaconcuadrcula">
    <w:name w:val="Table Grid"/>
    <w:basedOn w:val="Tablanormal"/>
    <w:uiPriority w:val="39"/>
    <w:rsid w:val="00F10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5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4410</Words>
  <Characters>25138</Characters>
  <Application>Microsoft Office Word</Application>
  <DocSecurity>0</DocSecurity>
  <Lines>209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EMR</Company>
  <LinksUpToDate>false</LinksUpToDate>
  <CharactersWithSpaces>29490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2026-10-09T17:43:00Z</dcterms:created>
  <dcterms:modified xsi:type="dcterms:W3CDTF">2026-10-12T02:04:00Z</dcterms:modified>
</cp:coreProperties>
</file>