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Century Gothic" w:hAnsi="Century Gothic" w:cs="Century Gothic" w:eastAsia="Century Gothic"/>
          <w:b/>
          <w:i w:val="0"/>
          <w:sz w:val="28"/>
        </w:rPr>
        <w:t>Diseño Curricular</w:t>
      </w:r>
    </w:p>
    <w:p>
      <w:pPr>
        <w:spacing w:before="0" w:after="360" w:line="240" w:lineRule="auto"/>
        <w:jc w:val="center"/>
      </w:pPr>
      <w:r>
        <w:rPr>
          <w:rFonts w:ascii="Century Gothic" w:hAnsi="Century Gothic" w:cs="Century Gothic" w:eastAsia="Century Gothic"/>
          <w:b/>
          <w:i w:val="0"/>
          <w:sz w:val="28"/>
        </w:rPr>
        <w:t>Identificación del Programa/Carrera</w:t>
      </w:r>
    </w:p>
    <w:p>
      <w:pPr>
        <w:keepNext/>
        <w:tabs>
          <w:tab w:pos="709" w:val="left"/>
        </w:tabs>
        <w:spacing w:before="160" w:after="200" w:line="240" w:lineRule="auto"/>
        <w:ind w:left="709" w:hanging="709"/>
        <w:jc w:val="left"/>
      </w:pPr>
      <w:r>
        <w:rPr>
          <w:rFonts w:ascii="Century Gothic" w:hAnsi="Century Gothic" w:cs="Century Gothic" w:eastAsia="Century Gothic"/>
          <w:b/>
          <w:i w:val="0"/>
          <w:sz w:val="24"/>
        </w:rPr>
        <w:t>1.</w:t>
        <w:tab/>
      </w:r>
      <w:r>
        <w:rPr>
          <w:rFonts w:ascii="Century Gothic" w:hAnsi="Century Gothic" w:cs="Century Gothic" w:eastAsia="Century Gothic"/>
          <w:b/>
          <w:i w:val="0"/>
          <w:sz w:val="24"/>
        </w:rPr>
        <w:t>Identificación del programa/carrera</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1.1</w:t>
        <w:tab/>
      </w:r>
      <w:r>
        <w:rPr>
          <w:rFonts w:ascii="Century Gothic" w:hAnsi="Century Gothic" w:cs="Century Gothic" w:eastAsia="Century Gothic"/>
          <w:b/>
          <w:i w:val="0"/>
          <w:sz w:val="24"/>
        </w:rPr>
        <w:t>Facultad</w:t>
      </w:r>
    </w:p>
    <w:p>
      <w:pPr>
        <w:spacing w:before="0" w:after="200" w:line="240" w:lineRule="auto"/>
        <w:jc w:val="both"/>
      </w:pPr>
      <w:r>
        <w:rPr>
          <w:rFonts w:ascii="Century Gothic" w:hAnsi="Century Gothic" w:cs="Century Gothic" w:eastAsia="Century Gothic"/>
          <w:b w:val="0"/>
          <w:i w:val="0"/>
          <w:sz w:val="20"/>
        </w:rPr>
        <w:t>Facultad de Ciencias Económicas y Financieras</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1.2</w:t>
        <w:tab/>
      </w:r>
      <w:r>
        <w:rPr>
          <w:rFonts w:ascii="Century Gothic" w:hAnsi="Century Gothic" w:cs="Century Gothic" w:eastAsia="Century Gothic"/>
          <w:b/>
          <w:i w:val="0"/>
          <w:sz w:val="24"/>
        </w:rPr>
        <w:t>Programa/ carrera</w:t>
      </w:r>
    </w:p>
    <w:p>
      <w:pPr>
        <w:spacing w:before="0" w:after="200" w:line="240" w:lineRule="auto"/>
        <w:jc w:val="both"/>
      </w:pPr>
      <w:r>
        <w:rPr>
          <w:rFonts w:ascii="Century Gothic" w:hAnsi="Century Gothic" w:cs="Century Gothic" w:eastAsia="Century Gothic"/>
          <w:b w:val="0"/>
          <w:i w:val="0"/>
          <w:sz w:val="20"/>
        </w:rPr>
        <w:t>Carrera Contaduría Pública</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1.3</w:t>
        <w:tab/>
      </w:r>
      <w:r>
        <w:rPr>
          <w:rFonts w:ascii="Century Gothic" w:hAnsi="Century Gothic" w:cs="Century Gothic" w:eastAsia="Century Gothic"/>
          <w:b/>
          <w:i w:val="0"/>
          <w:sz w:val="24"/>
        </w:rPr>
        <w:t>Fecha de creación y Resolución HCU</w:t>
      </w:r>
    </w:p>
    <w:p>
      <w:pPr>
        <w:spacing w:before="0" w:after="200" w:line="240" w:lineRule="auto"/>
        <w:jc w:val="both"/>
      </w:pPr>
      <w:r>
        <w:rPr>
          <w:rFonts w:ascii="Century Gothic" w:hAnsi="Century Gothic" w:cs="Century Gothic" w:eastAsia="Century Gothic"/>
          <w:b w:val="0"/>
          <w:i w:val="0"/>
          <w:sz w:val="20"/>
        </w:rPr>
        <w:t xml:space="preserve">La Carrera de Auditoría, fue fundada el </w:t>
      </w:r>
      <w:r>
        <w:rPr>
          <w:rFonts w:ascii="Century Gothic" w:hAnsi="Century Gothic" w:cs="Century Gothic" w:eastAsia="Century Gothic"/>
          <w:b/>
          <w:i w:val="0"/>
          <w:sz w:val="20"/>
        </w:rPr>
        <w:t>25 de Agosto de 1970</w:t>
      </w:r>
      <w:r>
        <w:rPr>
          <w:rFonts w:ascii="Century Gothic" w:hAnsi="Century Gothic" w:cs="Century Gothic" w:eastAsia="Century Gothic"/>
          <w:b w:val="0"/>
          <w:i w:val="0"/>
          <w:sz w:val="20"/>
        </w:rPr>
        <w:t>, iniciando sus actividades universitarias a partir de la Gestión Académica en el año 1971, luego de haber sido creada la mención de Carrera, otorgándole el nombre de Carrera de Auditoría, dependiente de la Facultad de Ciencias Económicas y Financieras de la Universidad Mayor de “San Andrés”. La RESOLUCIÓN DEL HONORABLE CONSEJO UNIVERSITARIO 057/1974.</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1.4</w:t>
        <w:tab/>
      </w:r>
      <w:r>
        <w:rPr>
          <w:rFonts w:ascii="Century Gothic" w:hAnsi="Century Gothic" w:cs="Century Gothic" w:eastAsia="Century Gothic"/>
          <w:b/>
          <w:i w:val="0"/>
          <w:sz w:val="24"/>
        </w:rPr>
        <w:t>Resolución(es) HCU que aprobaron planes de estudio anteriores</w:t>
      </w:r>
    </w:p>
    <w:p>
      <w:pPr>
        <w:numPr>
          <w:ilvl w:val="0"/>
          <w:numId w:val="901"/>
        </w:numPr>
        <w:spacing w:before="0" w:after="160" w:line="240" w:lineRule="auto"/>
        <w:jc w:val="both"/>
      </w:pPr>
      <w:r>
        <w:rPr>
          <w:rFonts w:ascii="Century Gothic" w:hAnsi="Century Gothic" w:cs="Century Gothic" w:eastAsia="Century Gothic"/>
          <w:b/>
          <w:i w:val="0"/>
          <w:sz w:val="20"/>
        </w:rPr>
        <w:t>PLAN DE ESTUDIOS 2013</w:t>
      </w:r>
      <w:r>
        <w:rPr>
          <w:rFonts w:ascii="Century Gothic" w:hAnsi="Century Gothic" w:cs="Century Gothic" w:eastAsia="Century Gothic"/>
          <w:b w:val="0"/>
          <w:i w:val="0"/>
          <w:sz w:val="20"/>
        </w:rPr>
        <w:t>: aprobado mediante Resolución del Honorable Consejo Universitario Nª025/2013 de fecha 21 de febrero de 2013</w:t>
      </w:r>
    </w:p>
    <w:p>
      <w:pPr>
        <w:numPr>
          <w:ilvl w:val="0"/>
          <w:numId w:val="901"/>
        </w:numPr>
        <w:spacing w:before="0" w:after="200" w:line="240" w:lineRule="auto"/>
        <w:jc w:val="both"/>
      </w:pPr>
      <w:r>
        <w:rPr>
          <w:rFonts w:ascii="Century Gothic" w:hAnsi="Century Gothic" w:cs="Century Gothic" w:eastAsia="Century Gothic"/>
          <w:b/>
          <w:i w:val="0"/>
          <w:sz w:val="20"/>
        </w:rPr>
        <w:t>PLAN DE ESTUDIOS 1999:</w:t>
      </w:r>
      <w:r>
        <w:rPr>
          <w:rFonts w:ascii="Century Gothic" w:hAnsi="Century Gothic" w:cs="Century Gothic" w:eastAsia="Century Gothic"/>
          <w:b w:val="0"/>
          <w:i w:val="0"/>
          <w:sz w:val="20"/>
        </w:rPr>
        <w:t xml:space="preserve"> aprobado mediante Resolución del Honorable Consejo Universitario Nª524/2004 de fecha 10 de noviembre de 2004.</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1.5</w:t>
        <w:tab/>
      </w:r>
      <w:r>
        <w:rPr>
          <w:rFonts w:ascii="Century Gothic" w:hAnsi="Century Gothic" w:cs="Century Gothic" w:eastAsia="Century Gothic"/>
          <w:b/>
          <w:i w:val="0"/>
          <w:sz w:val="24"/>
        </w:rPr>
        <w:t>Grado académico terminal</w:t>
      </w:r>
    </w:p>
    <w:p>
      <w:pPr>
        <w:spacing w:before="0" w:after="200" w:line="240" w:lineRule="auto"/>
        <w:ind w:left="357"/>
        <w:jc w:val="both"/>
      </w:pPr>
      <w:r>
        <w:rPr>
          <w:rFonts w:ascii="Century Gothic" w:hAnsi="Century Gothic" w:cs="Century Gothic" w:eastAsia="Century Gothic"/>
          <w:b w:val="0"/>
          <w:i w:val="0"/>
          <w:sz w:val="20"/>
        </w:rPr>
        <w:t>Licenciatura</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1.6</w:t>
        <w:tab/>
      </w:r>
      <w:r>
        <w:rPr>
          <w:rFonts w:ascii="Century Gothic" w:hAnsi="Century Gothic" w:cs="Century Gothic" w:eastAsia="Century Gothic"/>
          <w:b/>
          <w:i w:val="0"/>
          <w:sz w:val="24"/>
        </w:rPr>
        <w:t>Grado (s) académicos intermedios (s)</w:t>
      </w:r>
    </w:p>
    <w:p>
      <w:pPr>
        <w:spacing w:before="0" w:after="200" w:line="240" w:lineRule="auto"/>
        <w:jc w:val="both"/>
      </w:pPr>
      <w:r>
        <w:rPr>
          <w:rFonts w:ascii="Century Gothic" w:hAnsi="Century Gothic" w:cs="Century Gothic" w:eastAsia="Century Gothic"/>
          <w:b w:val="0"/>
          <w:i w:val="0"/>
          <w:sz w:val="20"/>
        </w:rPr>
        <w:t>La Resolución del Honorable Consejo Universitario Nº290/2016 que aprueba la consigna de la denominación de Técnico Universitario Superior en Contabilidad General a los estudiantes de Pregrado de la Carrera de Contaduría Pública</w:t>
      </w:r>
    </w:p>
    <w:p>
      <w:pPr>
        <w:numPr>
          <w:ilvl w:val="0"/>
          <w:numId w:val="902"/>
        </w:numPr>
        <w:spacing w:before="0" w:after="160" w:line="240" w:lineRule="auto"/>
        <w:jc w:val="both"/>
      </w:pPr>
      <w:r>
        <w:rPr>
          <w:rFonts w:ascii="Century Gothic" w:hAnsi="Century Gothic" w:cs="Century Gothic" w:eastAsia="Century Gothic"/>
          <w:b w:val="0"/>
          <w:i w:val="0"/>
          <w:sz w:val="20"/>
        </w:rPr>
        <w:t>Diploma Académico: Técnico Universitario Superior en Contabilidad General</w:t>
      </w:r>
    </w:p>
    <w:p>
      <w:pPr>
        <w:numPr>
          <w:ilvl w:val="0"/>
          <w:numId w:val="902"/>
        </w:numPr>
        <w:spacing w:before="0" w:after="200" w:line="240" w:lineRule="auto"/>
        <w:jc w:val="both"/>
      </w:pPr>
      <w:r>
        <w:rPr>
          <w:rFonts w:ascii="Century Gothic" w:hAnsi="Century Gothic" w:cs="Century Gothic" w:eastAsia="Century Gothic"/>
          <w:b w:val="0"/>
          <w:i w:val="0"/>
          <w:sz w:val="20"/>
        </w:rPr>
        <w:t>Título en Provisión Nacional: Contador General</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1.7</w:t>
        <w:tab/>
      </w:r>
      <w:r>
        <w:rPr>
          <w:rFonts w:ascii="Century Gothic" w:hAnsi="Century Gothic" w:cs="Century Gothic" w:eastAsia="Century Gothic"/>
          <w:b/>
          <w:i w:val="0"/>
          <w:sz w:val="24"/>
        </w:rPr>
        <w:t>Sede(s)</w:t>
      </w:r>
    </w:p>
    <w:p>
      <w:pPr>
        <w:spacing w:before="0" w:after="200" w:line="240" w:lineRule="auto"/>
        <w:ind w:left="357"/>
        <w:jc w:val="both"/>
      </w:pPr>
      <w:r>
        <w:rPr>
          <w:rFonts w:ascii="Century Gothic" w:hAnsi="Century Gothic" w:cs="Century Gothic" w:eastAsia="Century Gothic"/>
          <w:b w:val="0"/>
          <w:i w:val="0"/>
          <w:sz w:val="20"/>
        </w:rPr>
        <w:t>Programa Académico Desconcentrado Técnico Superior Contador General en las sedes: Centro Regional Universitario Yungas- Chulumani y Sede Universitaria Local Caranavi.</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1.8</w:t>
        <w:tab/>
      </w:r>
      <w:r>
        <w:rPr>
          <w:rFonts w:ascii="Century Gothic" w:hAnsi="Century Gothic" w:cs="Century Gothic" w:eastAsia="Century Gothic"/>
          <w:b/>
          <w:i w:val="0"/>
          <w:sz w:val="24"/>
        </w:rPr>
        <w:t>Diploma académico terminal</w:t>
      </w:r>
    </w:p>
    <w:p>
      <w:pPr>
        <w:spacing w:before="0" w:after="200" w:line="240" w:lineRule="auto"/>
        <w:ind w:left="357"/>
        <w:jc w:val="both"/>
      </w:pPr>
      <w:r>
        <w:rPr>
          <w:rFonts w:ascii="Century Gothic" w:hAnsi="Century Gothic" w:cs="Century Gothic" w:eastAsia="Century Gothic"/>
          <w:b w:val="0"/>
          <w:i w:val="0"/>
          <w:sz w:val="20"/>
        </w:rPr>
        <w:t>TÍTULO ACADÉMICO: LICENCIADO EN CONTADURÍA PÚBLICA</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1.9</w:t>
        <w:tab/>
      </w:r>
      <w:r>
        <w:rPr>
          <w:rFonts w:ascii="Century Gothic" w:hAnsi="Century Gothic" w:cs="Century Gothic" w:eastAsia="Century Gothic"/>
          <w:b/>
          <w:i w:val="0"/>
          <w:sz w:val="24"/>
        </w:rPr>
        <w:t>Diploma ( s) académico (s) intermedio</w:t>
      </w:r>
    </w:p>
    <w:p>
      <w:pPr>
        <w:spacing w:before="0" w:after="200" w:line="240" w:lineRule="auto"/>
        <w:ind w:left="357"/>
        <w:jc w:val="both"/>
      </w:pPr>
      <w:r>
        <w:rPr>
          <w:rFonts w:ascii="Century Gothic" w:hAnsi="Century Gothic" w:cs="Century Gothic" w:eastAsia="Century Gothic"/>
          <w:b w:val="0"/>
          <w:i w:val="0"/>
          <w:sz w:val="20"/>
        </w:rPr>
        <w:t>Diploma Académico: Técnico Universitario Superior en Contabilidad General</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1.10</w:t>
        <w:tab/>
      </w:r>
      <w:r>
        <w:rPr>
          <w:rFonts w:ascii="Century Gothic" w:hAnsi="Century Gothic" w:cs="Century Gothic" w:eastAsia="Century Gothic"/>
          <w:b/>
          <w:i w:val="0"/>
          <w:sz w:val="24"/>
        </w:rPr>
        <w:t>Título Profesional</w:t>
      </w:r>
    </w:p>
    <w:p>
      <w:pPr>
        <w:spacing w:before="0" w:after="200" w:line="240" w:lineRule="auto"/>
        <w:jc w:val="both"/>
      </w:pPr>
      <w:r>
        <w:rPr>
          <w:rFonts w:ascii="Century Gothic" w:hAnsi="Century Gothic" w:cs="Century Gothic" w:eastAsia="Century Gothic"/>
          <w:b w:val="0"/>
          <w:i w:val="0"/>
          <w:sz w:val="20"/>
        </w:rPr>
        <w:t>TÍTULO EN PROVISIÓN NACIONAL: CONTADOR PÚBLICO AUTORIZADO</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1.11</w:t>
        <w:tab/>
      </w:r>
      <w:r>
        <w:rPr>
          <w:rFonts w:ascii="Century Gothic" w:hAnsi="Century Gothic" w:cs="Century Gothic" w:eastAsia="Century Gothic"/>
          <w:b/>
          <w:i w:val="0"/>
          <w:sz w:val="24"/>
        </w:rPr>
        <w:t>Título (s) profesional (s) intermedios</w:t>
      </w:r>
    </w:p>
    <w:p>
      <w:pPr>
        <w:spacing w:before="0" w:after="200" w:line="240" w:lineRule="auto"/>
        <w:jc w:val="both"/>
      </w:pPr>
      <w:r>
        <w:rPr>
          <w:rFonts w:ascii="Century Gothic" w:hAnsi="Century Gothic" w:cs="Century Gothic" w:eastAsia="Century Gothic"/>
          <w:b w:val="0"/>
          <w:i w:val="0"/>
          <w:sz w:val="20"/>
        </w:rPr>
        <w:t>Título en Provisión Nacional: Contador General</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1.12</w:t>
        <w:tab/>
      </w:r>
      <w:r>
        <w:rPr>
          <w:rFonts w:ascii="Century Gothic" w:hAnsi="Century Gothic" w:cs="Century Gothic" w:eastAsia="Century Gothic"/>
          <w:b/>
          <w:i w:val="0"/>
          <w:sz w:val="24"/>
        </w:rPr>
        <w:t>Modalidad (s) de docencia</w:t>
      </w:r>
    </w:p>
    <w:p>
      <w:pPr>
        <w:spacing w:before="0" w:after="200" w:line="240" w:lineRule="auto"/>
        <w:ind w:left="357"/>
        <w:jc w:val="both"/>
      </w:pPr>
      <w:r>
        <w:rPr>
          <w:rFonts w:ascii="Century Gothic" w:hAnsi="Century Gothic" w:cs="Century Gothic" w:eastAsia="Century Gothic"/>
          <w:b w:val="0"/>
          <w:i w:val="0"/>
          <w:sz w:val="20"/>
        </w:rPr>
        <w:t>Se tiene docentes Eméritos, titulares, interinos e invitados.</w:t>
      </w:r>
    </w:p>
    <w:sectPr w:rsidR="00FC693F" w:rsidRPr="0006063C" w:rsidSect="00034616">
      <w:headerReference w:type="default" r:id="rId9"/>
      <w:footerReference w:type="default" r:id="rId10"/>
      <w:pgSz w:w="12240" w:h="15840"/>
      <w:pgMar w:top="1701" w:right="1134" w:bottom="1134"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entury Gothic" w:hAnsi="Century Gothic" w:cs="Century Gothic" w:eastAsia="Century Gothic"/>
        <w:sz w:val="20"/>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Borders>
        <w:top w:val="nil"/>
        <w:left w:val="nil"/>
        <w:bottom w:val="single" w:sz="6" w:space="0" w:color="000000"/>
        <w:right w:val="nil"/>
        <w:insideH w:val="nil"/>
        <w:insideV w:val="nil"/>
      </w:tblBorders>
      <w:tblLayout w:type="fixed"/>
      <w:tblLook w:firstColumn="1" w:firstRow="1" w:lastColumn="0" w:lastRow="0" w:noHBand="0" w:noVBand="1" w:val="04A0"/>
    </w:tblPr>
    <w:tblGrid>
      <w:gridCol w:w="1247"/>
      <w:gridCol w:w="6911"/>
      <w:gridCol w:w="1247"/>
    </w:tblGrid>
    <w:tr>
      <w:tc>
        <w:tcPr>
          <w:tcW w:type="dxa" w:w="1247"/>
          <w:vAlign w:val="center"/>
        </w:tcPr>
        <w:p>
          <w:pPr>
            <w:spacing w:before="0" w:after="40" w:line="240" w:lineRule="auto"/>
            <w:jc w:val="left"/>
          </w:pPr>
          <w:r>
            <w:drawing>
              <wp:inline xmlns:a="http://schemas.openxmlformats.org/drawingml/2006/main" xmlns:pic="http://schemas.openxmlformats.org/drawingml/2006/picture">
                <wp:extent cx="484248" cy="684000"/>
                <wp:docPr id="1" name="Picture 1"/>
                <wp:cNvGraphicFramePr>
                  <a:graphicFrameLocks noChangeAspect="1"/>
                </wp:cNvGraphicFramePr>
                <a:graphic>
                  <a:graphicData uri="http://schemas.openxmlformats.org/drawingml/2006/picture">
                    <pic:pic>
                      <pic:nvPicPr>
                        <pic:cNvPr id="0" name="logo_umsa.png"/>
                        <pic:cNvPicPr/>
                      </pic:nvPicPr>
                      <pic:blipFill>
                        <a:blip r:embed="rId1"/>
                        <a:stretch>
                          <a:fillRect/>
                        </a:stretch>
                      </pic:blipFill>
                      <pic:spPr>
                        <a:xfrm>
                          <a:off x="0" y="0"/>
                          <a:ext cx="484248" cy="684000"/>
                        </a:xfrm>
                        <a:prstGeom prst="rect"/>
                      </pic:spPr>
                    </pic:pic>
                  </a:graphicData>
                </a:graphic>
              </wp:inline>
            </w:drawing>
          </w:r>
        </w:p>
      </w:tc>
      <w:tc>
        <w:tcPr>
          <w:tcW w:type="dxa" w:w="6911"/>
          <w:vAlign w:val="center"/>
        </w:tcPr>
        <w:p>
          <w:pPr>
            <w:spacing w:before="0" w:after="0" w:line="240" w:lineRule="auto"/>
            <w:jc w:val="center"/>
          </w:pPr>
          <w:r>
            <w:rPr>
              <w:rFonts w:ascii="Century Gothic" w:hAnsi="Century Gothic" w:cs="Century Gothic" w:eastAsia="Century Gothic"/>
              <w:b/>
              <w:sz w:val="22"/>
            </w:rPr>
            <w:t>Universidad Mayor de “San Andrés”</w:t>
            <w:br/>
          </w:r>
          <w:r>
            <w:rPr>
              <w:rFonts w:ascii="Century Gothic" w:hAnsi="Century Gothic" w:cs="Century Gothic" w:eastAsia="Century Gothic"/>
              <w:b/>
              <w:sz w:val="22"/>
            </w:rPr>
            <w:t>Facultad de Ciencias Económicas y Financieras</w:t>
            <w:br/>
          </w:r>
          <w:r>
            <w:rPr>
              <w:rFonts w:ascii="Century Gothic" w:hAnsi="Century Gothic" w:cs="Century Gothic" w:eastAsia="Century Gothic"/>
              <w:b/>
              <w:sz w:val="22"/>
            </w:rPr>
            <w:t>Carrera Contaduría Pública</w:t>
          </w:r>
        </w:p>
      </w:tc>
      <w:tc>
        <w:tcPr>
          <w:tcW w:type="dxa" w:w="1247"/>
          <w:vAlign w:val="center"/>
        </w:tcPr>
        <w:p>
          <w:pPr>
            <w:spacing w:before="0" w:after="40" w:line="240" w:lineRule="auto"/>
            <w:jc w:val="right"/>
          </w:pPr>
          <w:r>
            <w:drawing>
              <wp:inline xmlns:a="http://schemas.openxmlformats.org/drawingml/2006/main" xmlns:pic="http://schemas.openxmlformats.org/drawingml/2006/picture">
                <wp:extent cx="445846" cy="684000"/>
                <wp:docPr id="2" name="Picture 2"/>
                <wp:cNvGraphicFramePr>
                  <a:graphicFrameLocks noChangeAspect="1"/>
                </wp:cNvGraphicFramePr>
                <a:graphic>
                  <a:graphicData uri="http://schemas.openxmlformats.org/drawingml/2006/picture">
                    <pic:pic>
                      <pic:nvPicPr>
                        <pic:cNvPr id="0" name="logo_carrera.png"/>
                        <pic:cNvPicPr/>
                      </pic:nvPicPr>
                      <pic:blipFill>
                        <a:blip r:embed="rId2"/>
                        <a:stretch>
                          <a:fillRect/>
                        </a:stretch>
                      </pic:blipFill>
                      <pic:spPr>
                        <a:xfrm>
                          <a:off x="0" y="0"/>
                          <a:ext cx="445846" cy="684000"/>
                        </a:xfrm>
                        <a:prstGeom prst="rect"/>
                      </pic:spPr>
                    </pic:pic>
                  </a:graphicData>
                </a:graphic>
              </wp:inline>
            </w:drawing>
          </w:r>
        </w:p>
      </w:tc>
    </w:tr>
  </w:tbl>
  <w:p>
    <w:pP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00">
    <w:multiLevelType w:val="hybridMultilevel"/>
    <w:lvl w:ilvl="0">
      <w:start w:val="1"/>
      <w:numFmt w:val="bullet"/>
      <w:lvlText w:val=""/>
      <w:lvlJc w:val="left"/>
      <w:pPr>
        <w:ind w:left="357" w:hanging="357"/>
      </w:pPr>
      <w:rPr>
        <w:rFonts w:ascii="Wingdings" w:hAnsi="Wingdings" w:cs="Wingdings" w:hint="default"/>
        <w:sz w:val="20"/>
      </w:rPr>
    </w:lvl>
    <w:lvl w:ilvl="1">
      <w:start w:val="1"/>
      <w:numFmt w:val="bullet"/>
      <w:lvlText w:val="–"/>
      <w:lvlJc w:val="left"/>
      <w:pPr>
        <w:ind w:left="720" w:hanging="283"/>
      </w:pPr>
      <w:rPr>
        <w:rFonts w:ascii="Century Gothic" w:hAnsi="Century Gothic" w:cs="Century Gothic" w:hint="default"/>
        <w:sz w:val="20"/>
      </w:rPr>
    </w:lvl>
    <w:lvl w:ilvl="2">
      <w:start w:val="1"/>
      <w:numFmt w:val="bullet"/>
      <w:lvlText w:val="·"/>
      <w:lvlJc w:val="left"/>
      <w:pPr>
        <w:ind w:left="1077" w:hanging="283"/>
      </w:pPr>
      <w:rPr>
        <w:rFonts w:ascii="Symbol" w:hAnsi="Symbol" w:cs="Symbol" w:hint="default"/>
        <w:sz w:val="20"/>
      </w:rPr>
    </w:lvl>
  </w:abstractNum>
  <w:abstractNum w:abstractNumId="901">
    <w:multiLevelType w:val="hybridMultilevel"/>
    <w:lvl w:ilvl="0">
      <w:start w:val="1"/>
      <w:numFmt w:val="lowerLetter"/>
      <w:lvlText w:val="%1."/>
      <w:lvlJc w:val="left"/>
      <w:pPr>
        <w:ind w:left="357" w:hanging="357"/>
      </w:pPr>
      <w:rPr>
        <w:rFonts w:ascii="Century Gothic" w:hAnsi="Century Gothic" w:cs="Century Gothic" w:hint="default"/>
        <w:b/>
        <w:sz w:val="20"/>
      </w:rPr>
    </w:lvl>
    <w:lvl w:ilvl="1">
      <w:start w:val="1"/>
      <w:numFmt w:val="bullet"/>
      <w:lvlText w:val=""/>
      <w:lvlJc w:val="left"/>
      <w:pPr>
        <w:ind w:left="720" w:hanging="357"/>
      </w:pPr>
      <w:rPr>
        <w:rFonts w:ascii="Wingdings" w:hAnsi="Wingdings" w:cs="Wingdings" w:hint="default"/>
        <w:sz w:val="20"/>
      </w:rPr>
    </w:lvl>
    <w:lvl w:ilvl="2">
      <w:start w:val="1"/>
      <w:numFmt w:val="bullet"/>
      <w:lvlText w:val="–"/>
      <w:lvlJc w:val="left"/>
      <w:pPr>
        <w:ind w:left="1077" w:hanging="283"/>
      </w:pPr>
      <w:rPr>
        <w:rFonts w:ascii="Century Gothic" w:hAnsi="Century Gothic" w:cs="Century Gothic" w:hint="default"/>
        <w:sz w:val="20"/>
      </w:rPr>
    </w:lvl>
  </w:abstractNum>
  <w:abstractNum w:abstractNumId="902">
    <w:multiLevelType w:val="hybridMultilevel"/>
    <w:lvl w:ilvl="0">
      <w:start w:val="1"/>
      <w:numFmt w:val="decimal"/>
      <w:lvlText w:val="%1."/>
      <w:lvlJc w:val="left"/>
      <w:pPr>
        <w:ind w:left="357" w:hanging="357"/>
      </w:pPr>
      <w:rPr>
        <w:rFonts w:ascii="Century Gothic" w:hAnsi="Century Gothic" w:cs="Century Gothic" w:hint="default"/>
        <w:b/>
        <w:sz w:val="20"/>
      </w:rPr>
    </w:lvl>
    <w:lvl w:ilvl="1">
      <w:start w:val="1"/>
      <w:numFmt w:val="lowerLetter"/>
      <w:lvlText w:val="%2."/>
      <w:lvlJc w:val="left"/>
      <w:pPr>
        <w:ind w:left="720" w:hanging="357"/>
      </w:pPr>
      <w:rPr>
        <w:rFonts w:ascii="Century Gothic" w:hAnsi="Century Gothic" w:cs="Century Gothic" w:hint="default"/>
        <w:b/>
        <w:sz w:val="20"/>
      </w:rPr>
    </w:lvl>
    <w:lvl w:ilvl="2">
      <w:start w:val="1"/>
      <w:numFmt w:val="bullet"/>
      <w:lvlText w:val=""/>
      <w:lvlJc w:val="left"/>
      <w:pPr>
        <w:ind w:left="1077" w:hanging="283"/>
      </w:pPr>
      <w:rPr>
        <w:rFonts w:ascii="Wingdings" w:hAnsi="Wingdings" w:cs="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901">
    <w:abstractNumId w:val="900"/>
    <w:lvlOverride w:ilvl="0">
      <w:startOverride w:val="1"/>
    </w:lvlOverride>
  </w:num>
  <w:num w:numId="902">
    <w:abstractNumId w:val="90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entury Gothic" w:hAnsi="Century Gothic" w:cs="Century Gothic" w:eastAsia="Century Gothic"/>
      <w:sz w:val="20"/>
      <w:lang w:val="es-BO" w:eastAsia="es-B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