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Antecedentes</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2.</w:t>
        <w:tab/>
      </w:r>
      <w:r>
        <w:rPr>
          <w:rFonts w:ascii="Century Gothic" w:hAnsi="Century Gothic" w:cs="Century Gothic" w:eastAsia="Century Gothic"/>
          <w:b/>
          <w:i w:val="0"/>
          <w:sz w:val="24"/>
        </w:rPr>
        <w:t>Antecedentes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2.1</w:t>
        <w:tab/>
      </w:r>
      <w:r>
        <w:rPr>
          <w:rFonts w:ascii="Century Gothic" w:hAnsi="Century Gothic" w:cs="Century Gothic" w:eastAsia="Century Gothic"/>
          <w:b/>
          <w:i w:val="0"/>
          <w:sz w:val="24"/>
        </w:rPr>
        <w:t>Datos generales del programa/carrera</w:t>
      </w:r>
    </w:p>
    <w:p>
      <w:pPr>
        <w:spacing w:before="0" w:after="200" w:line="240" w:lineRule="auto"/>
        <w:jc w:val="both"/>
      </w:pPr>
      <w:r>
        <w:rPr>
          <w:rFonts w:ascii="Century Gothic" w:hAnsi="Century Gothic" w:cs="Century Gothic" w:eastAsia="Century Gothic"/>
          <w:b w:val="0"/>
          <w:i w:val="0"/>
          <w:sz w:val="20"/>
        </w:rPr>
        <w:t>La Carrera de Contaduría Pública pertenece a la Facultad de Ciencias Económicas y Financieras de la Universidad Mayor de San Andrés, del Sistema Público de la Universidad Boliviana, desarrolla sus actividades institucionales, académicas y administrativas en el marco de las Normas y Reglamentos Universitarios, respetando la autonomía universitaria que le confiere la independencia ideológica, capacidad de dotarse de normas, elegir libremente a sus autoridades y la libre administración de recursos, adopta para su gestión el Co- Gobierno Docente Estudiantil. (COPIA DEL DOCUMENTO 2024)</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2.2</w:t>
        <w:tab/>
      </w:r>
      <w:r>
        <w:rPr>
          <w:rFonts w:ascii="Century Gothic" w:hAnsi="Century Gothic" w:cs="Century Gothic" w:eastAsia="Century Gothic"/>
          <w:b/>
          <w:i w:val="0"/>
          <w:sz w:val="24"/>
        </w:rPr>
        <w:t>Misión, visión de la carrera (copia del documento recién socializado)</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2.2.1</w:t>
        <w:tab/>
      </w:r>
      <w:r>
        <w:rPr>
          <w:rFonts w:ascii="Century Gothic" w:hAnsi="Century Gothic" w:cs="Century Gothic" w:eastAsia="Century Gothic"/>
          <w:b/>
          <w:i w:val="0"/>
          <w:sz w:val="22"/>
        </w:rPr>
        <w:t>Visión</w:t>
      </w:r>
    </w:p>
    <w:p>
      <w:pPr>
        <w:spacing w:before="0" w:after="200" w:line="240" w:lineRule="auto"/>
        <w:jc w:val="both"/>
      </w:pPr>
      <w:r>
        <w:rPr>
          <w:rFonts w:ascii="Century Gothic" w:hAnsi="Century Gothic" w:cs="Century Gothic" w:eastAsia="Century Gothic"/>
          <w:b w:val="0"/>
          <w:i w:val="0"/>
          <w:sz w:val="20"/>
        </w:rPr>
        <w:t>Ser una unidad académica líder a nivel nacional y referente a nivel internacional en la formación integral de Contadores Públicos Autorizados de excelencia académica, altamente competitivos e innovadores, capaces de liderar la transformación digital, la sostenibilidad y la gobernanza organizacional, respondiendo con rigor ético a los desafíos del Estado, la sociedad y el mercado laboral global.</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2.2.2</w:t>
        <w:tab/>
      </w:r>
      <w:r>
        <w:rPr>
          <w:rFonts w:ascii="Century Gothic" w:hAnsi="Century Gothic" w:cs="Century Gothic" w:eastAsia="Century Gothic"/>
          <w:b/>
          <w:i w:val="0"/>
          <w:sz w:val="22"/>
        </w:rPr>
        <w:t>Misión</w:t>
      </w:r>
    </w:p>
    <w:p>
      <w:pPr>
        <w:spacing w:before="0" w:after="200" w:line="240" w:lineRule="auto"/>
        <w:jc w:val="both"/>
      </w:pPr>
      <w:r>
        <w:rPr>
          <w:rFonts w:ascii="Century Gothic" w:hAnsi="Century Gothic" w:cs="Century Gothic" w:eastAsia="Century Gothic"/>
          <w:b w:val="0"/>
          <w:i w:val="0"/>
          <w:sz w:val="20"/>
        </w:rPr>
        <w:t>Formar Contadores Públicos Autorizados con sólida excelencia científica, técnica, ética y humanística, competentes en el diseño, preparación, aseguramiento y análisis estratégico de información financiera y no financiera. Impulsar el pensamiento crítico, la innovación tecnológica (IA y analítica de datos) y la adaptabilidad para promover el interés público, la transparencia y el desarrollo sostenible de las organizaciones públicas y privadas.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2.4</w:t>
        <w:tab/>
      </w:r>
      <w:r>
        <w:rPr>
          <w:rFonts w:ascii="Century Gothic" w:hAnsi="Century Gothic" w:cs="Century Gothic" w:eastAsia="Century Gothic"/>
          <w:b/>
          <w:i w:val="0"/>
          <w:sz w:val="24"/>
        </w:rPr>
        <w:t>Objetivos del programa/carrera</w:t>
      </w:r>
    </w:p>
    <w:p>
      <w:pPr>
        <w:spacing w:before="0" w:after="200" w:line="240" w:lineRule="auto"/>
        <w:jc w:val="both"/>
      </w:pPr>
      <w:r>
        <w:rPr>
          <w:rFonts w:ascii="Century Gothic" w:hAnsi="Century Gothic" w:cs="Century Gothic" w:eastAsia="Century Gothic"/>
          <w:b w:val="0"/>
          <w:i w:val="0"/>
          <w:sz w:val="20"/>
        </w:rPr>
        <w:t>Los objetivos de la Carrera de Contaduría Pública, se estructuran en los siguientes ejes estratégicos:</w:t>
      </w:r>
    </w:p>
    <w:p>
      <w:pPr>
        <w:numPr>
          <w:ilvl w:val="0"/>
          <w:numId w:val="901"/>
        </w:numPr>
        <w:spacing w:before="0" w:after="160" w:line="240" w:lineRule="auto"/>
        <w:jc w:val="both"/>
      </w:pPr>
      <w:r>
        <w:rPr>
          <w:rFonts w:ascii="Century Gothic" w:hAnsi="Century Gothic" w:cs="Century Gothic" w:eastAsia="Century Gothic"/>
          <w:b w:val="0"/>
          <w:i w:val="0"/>
          <w:sz w:val="20"/>
        </w:rPr>
        <w:t>Calidad y Pertinencia Curricular: Garantizar una educación superior de excelencia bajo un enfoque por competencias, integrando teoría y práctica en el diseño, gestión y aseguramiento de información financiera y no financiera para el sector público y privado.</w:t>
      </w:r>
    </w:p>
    <w:p>
      <w:pPr>
        <w:numPr>
          <w:ilvl w:val="0"/>
          <w:numId w:val="901"/>
        </w:numPr>
        <w:spacing w:before="0" w:after="160" w:line="240" w:lineRule="auto"/>
        <w:jc w:val="both"/>
      </w:pPr>
      <w:r>
        <w:rPr>
          <w:rFonts w:ascii="Century Gothic" w:hAnsi="Century Gothic" w:cs="Century Gothic" w:eastAsia="Century Gothic"/>
          <w:b w:val="0"/>
          <w:i w:val="0"/>
          <w:sz w:val="20"/>
        </w:rPr>
        <w:t>Transformación Digital e Innovación: Desarrollar competencias avanzadas en el uso de tecnologías de la información, Inteligencia Artificial aplicada, analítica de datos y los encargos de aseguramiento asistidos por herramientas tecnológicas para optimizar la toma de decisiones en tiempo real.</w:t>
      </w:r>
    </w:p>
    <w:p>
      <w:pPr>
        <w:numPr>
          <w:ilvl w:val="0"/>
          <w:numId w:val="901"/>
        </w:numPr>
        <w:spacing w:before="0" w:after="160" w:line="240" w:lineRule="auto"/>
        <w:jc w:val="both"/>
      </w:pPr>
      <w:r>
        <w:rPr>
          <w:rFonts w:ascii="Century Gothic" w:hAnsi="Century Gothic" w:cs="Century Gothic" w:eastAsia="Century Gothic"/>
          <w:b w:val="0"/>
          <w:i w:val="0"/>
          <w:sz w:val="20"/>
        </w:rPr>
        <w:t>Ética, Responsabilidad Pública y Gobernanza: Inculcar principios éticos rigurosos alineados con el Código de Ética del Consejo de Normas Internacionales de Ética (IESBA), promoviendo la transparencia, la gestión integral de riesgos y el cumplimiento normativo en resguardo del interés público.</w:t>
      </w:r>
    </w:p>
    <w:p>
      <w:pPr>
        <w:numPr>
          <w:ilvl w:val="0"/>
          <w:numId w:val="901"/>
        </w:numPr>
        <w:spacing w:before="0" w:after="160" w:line="240" w:lineRule="auto"/>
        <w:jc w:val="both"/>
      </w:pPr>
      <w:r>
        <w:rPr>
          <w:rFonts w:ascii="Century Gothic" w:hAnsi="Century Gothic" w:cs="Century Gothic" w:eastAsia="Century Gothic"/>
          <w:b w:val="0"/>
          <w:i w:val="0"/>
          <w:sz w:val="20"/>
        </w:rPr>
        <w:t>Investigación y Pensamiento Crítico: Promover la investigación contable, los servicios de aseguramiento y el desarrollo del juicio crítico reflexivo para enfrentar las incertidumbres y resolver problemas organizacionales multidimensionales.</w:t>
      </w:r>
    </w:p>
    <w:p>
      <w:pPr>
        <w:numPr>
          <w:ilvl w:val="0"/>
          <w:numId w:val="901"/>
        </w:numPr>
        <w:spacing w:before="0" w:after="160" w:line="240" w:lineRule="auto"/>
        <w:jc w:val="both"/>
      </w:pPr>
      <w:r>
        <w:rPr>
          <w:rFonts w:ascii="Century Gothic" w:hAnsi="Century Gothic" w:cs="Century Gothic" w:eastAsia="Century Gothic"/>
          <w:b w:val="0"/>
          <w:i w:val="0"/>
          <w:sz w:val="20"/>
        </w:rPr>
        <w:t>Internacionalización y Movilidad Global: Fomentar el dominio del inglés técnico contable y la aplicación de estándares internacionales para potenciar la competitividad global y la transferibilidad académica del profesional.</w:t>
      </w:r>
    </w:p>
    <w:p>
      <w:pPr>
        <w:numPr>
          <w:ilvl w:val="0"/>
          <w:numId w:val="901"/>
        </w:numPr>
        <w:spacing w:before="0" w:after="200" w:line="240" w:lineRule="auto"/>
        <w:jc w:val="both"/>
      </w:pPr>
      <w:r>
        <w:rPr>
          <w:rFonts w:ascii="Century Gothic" w:hAnsi="Century Gothic" w:cs="Century Gothic" w:eastAsia="Century Gothic"/>
          <w:b w:val="0"/>
          <w:i w:val="0"/>
          <w:sz w:val="20"/>
        </w:rPr>
        <w:t>Vinculación Práctica e Interacción Social: Fortalecer la formación mediante el aprendizaje basado en proyectos reales, pasantías pre-profesionales y convenios estratégicos con el sector productivo e institucional.</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2.6</w:t>
        <w:tab/>
      </w:r>
      <w:r>
        <w:rPr>
          <w:rFonts w:ascii="Century Gothic" w:hAnsi="Century Gothic" w:cs="Century Gothic" w:eastAsia="Century Gothic"/>
          <w:b/>
          <w:i w:val="0"/>
          <w:sz w:val="24"/>
        </w:rPr>
        <w:t>Organigrama del programa/carrera (extraído del documento 2024)</w:t>
      </w:r>
    </w:p>
    <w:p>
      <w:pPr>
        <w:spacing w:before="40" w:after="80" w:line="240" w:lineRule="auto"/>
        <w:jc w:val="center"/>
      </w:pPr>
      <w:r>
        <w:drawing>
          <wp:inline xmlns:a="http://schemas.openxmlformats.org/drawingml/2006/main" xmlns:pic="http://schemas.openxmlformats.org/drawingml/2006/picture">
            <wp:extent cx="5400000" cy="4697398"/>
            <wp:docPr id="1" name="Picture 1"/>
            <wp:cNvGraphicFramePr>
              <a:graphicFrameLocks noChangeAspect="1"/>
            </wp:cNvGraphicFramePr>
            <a:graphic>
              <a:graphicData uri="http://schemas.openxmlformats.org/drawingml/2006/picture">
                <pic:pic>
                  <pic:nvPicPr>
                    <pic:cNvPr id="0" name="img001.png"/>
                    <pic:cNvPicPr/>
                  </pic:nvPicPr>
                  <pic:blipFill>
                    <a:blip r:embed="rId11"/>
                    <a:stretch>
                      <a:fillRect/>
                    </a:stretch>
                  </pic:blipFill>
                  <pic:spPr>
                    <a:xfrm>
                      <a:off x="0" y="0"/>
                      <a:ext cx="5400000" cy="4697398"/>
                    </a:xfrm>
                    <a:prstGeom prst="rect"/>
                  </pic:spPr>
                </pic:pic>
              </a:graphicData>
            </a:graphic>
          </wp:inline>
        </w:drawing>
      </w:r>
    </w:p>
    <w:p>
      <w:pPr>
        <w:spacing w:before="0" w:after="200" w:line="240" w:lineRule="auto"/>
        <w:jc w:val="both"/>
      </w:pPr>
      <w:r>
        <w:rPr>
          <w:rFonts w:ascii="Century Gothic" w:hAnsi="Century Gothic" w:cs="Century Gothic" w:eastAsia="Century Gothic"/>
          <w:b w:val="0"/>
          <w:i w:val="0"/>
          <w:sz w:val="20"/>
        </w:rPr>
        <w:t>En la estructura organizativa de la Carrera se incorporan las instancias de dirección, mandos intermedios e instancias académico - administrativas, enmarcadas en los principios de co- gobierno, como establecen las normas generales del sistema universitario público en el país y específicas de la Universidad Mayor de San Andrés.</w:t>
      </w:r>
    </w:p>
    <w:p>
      <w:pPr>
        <w:spacing w:before="0" w:after="200" w:line="240" w:lineRule="auto"/>
        <w:jc w:val="both"/>
      </w:pPr>
      <w:r>
        <w:rPr>
          <w:rFonts w:ascii="Century Gothic" w:hAnsi="Century Gothic" w:cs="Century Gothic" w:eastAsia="Century Gothic"/>
          <w:b w:val="0"/>
          <w:i w:val="0"/>
          <w:sz w:val="20"/>
        </w:rPr>
        <w:t>En esa lógica, en el nivel de dirección, donde se encuentra la máxima instancia de toma de decisiones están la Asamblea General Docente Estudiantil y el Honorable Consejo de Carrera.</w:t>
      </w:r>
    </w:p>
    <w:p>
      <w:pPr>
        <w:spacing w:before="0" w:after="200" w:line="240" w:lineRule="auto"/>
        <w:jc w:val="both"/>
      </w:pPr>
      <w:r>
        <w:rPr>
          <w:rFonts w:ascii="Century Gothic" w:hAnsi="Century Gothic" w:cs="Century Gothic" w:eastAsia="Century Gothic"/>
          <w:b w:val="0"/>
          <w:i w:val="0"/>
          <w:sz w:val="20"/>
        </w:rPr>
        <w:t xml:space="preserve">La </w:t>
      </w:r>
      <w:r>
        <w:rPr>
          <w:rFonts w:ascii="Century Gothic" w:hAnsi="Century Gothic" w:cs="Century Gothic" w:eastAsia="Century Gothic"/>
          <w:b/>
          <w:i w:val="0"/>
          <w:sz w:val="20"/>
        </w:rPr>
        <w:t>Asamblea General Docente Estudiantil,</w:t>
      </w:r>
      <w:r>
        <w:rPr>
          <w:rFonts w:ascii="Century Gothic" w:hAnsi="Century Gothic" w:cs="Century Gothic" w:eastAsia="Century Gothic"/>
          <w:b w:val="0"/>
          <w:i w:val="0"/>
          <w:sz w:val="20"/>
        </w:rPr>
        <w:t xml:space="preserve"> es convocada por el Consejo de Carrera a través de mecanismos que garanticen la máxima representatividad de todos sus niveles y componentes, tiene la función de establecer la comunicación de aspectos centrales de la vida académica, presupuestaria, y de administración académica importantes a docentes y estudiantes, para su análisis, así como la facultad de tratar y tomar decisiones respecto a situaciones o problemas en el desarrollo académico, económico administrativo y de otra naturaleza según necesidades.</w:t>
      </w:r>
    </w:p>
    <w:p>
      <w:pPr>
        <w:spacing w:before="0" w:after="200" w:line="240" w:lineRule="auto"/>
        <w:jc w:val="both"/>
      </w:pPr>
      <w:r>
        <w:rPr>
          <w:rFonts w:ascii="Century Gothic" w:hAnsi="Century Gothic" w:cs="Century Gothic" w:eastAsia="Century Gothic"/>
          <w:b w:val="0"/>
          <w:i w:val="0"/>
          <w:sz w:val="20"/>
        </w:rPr>
        <w:t xml:space="preserve">El </w:t>
      </w:r>
      <w:r>
        <w:rPr>
          <w:rFonts w:ascii="Century Gothic" w:hAnsi="Century Gothic" w:cs="Century Gothic" w:eastAsia="Century Gothic"/>
          <w:b/>
          <w:i w:val="0"/>
          <w:sz w:val="20"/>
        </w:rPr>
        <w:t>Honorable Consejo de Carrera,</w:t>
      </w:r>
      <w:r>
        <w:rPr>
          <w:rFonts w:ascii="Century Gothic" w:hAnsi="Century Gothic" w:cs="Century Gothic" w:eastAsia="Century Gothic"/>
          <w:b w:val="0"/>
          <w:i w:val="0"/>
          <w:sz w:val="20"/>
        </w:rPr>
        <w:t xml:space="preserve"> está conformado por su directora/or y la representación paritaria de delegadas/os docente/s y estudiantes, elegidas/os democráticamente, con derecho a voz y voto.</w:t>
      </w:r>
    </w:p>
    <w:p>
      <w:pPr>
        <w:spacing w:before="0" w:after="200" w:line="240" w:lineRule="auto"/>
        <w:jc w:val="both"/>
      </w:pPr>
      <w:r>
        <w:rPr>
          <w:rFonts w:ascii="Century Gothic" w:hAnsi="Century Gothic" w:cs="Century Gothic" w:eastAsia="Century Gothic"/>
          <w:b w:val="0"/>
          <w:i w:val="0"/>
          <w:sz w:val="20"/>
        </w:rPr>
        <w:t xml:space="preserve">Sus atribuciones y competencias se encuentran definidas en el Reglamento Interno del Honorable Consejo Universitario Res. Nº 138/89 Art. 3, que le confiere la potestad del tratamiento y </w:t>
      </w:r>
      <w:r>
        <w:rPr>
          <w:rFonts w:ascii="Century Gothic" w:hAnsi="Century Gothic" w:cs="Century Gothic" w:eastAsia="Century Gothic"/>
          <w:b/>
          <w:i w:val="0"/>
          <w:sz w:val="20"/>
        </w:rPr>
        <w:t>toma de decisiones</w:t>
      </w:r>
      <w:r>
        <w:rPr>
          <w:rFonts w:ascii="Century Gothic" w:hAnsi="Century Gothic" w:cs="Century Gothic" w:eastAsia="Century Gothic"/>
          <w:b w:val="0"/>
          <w:i w:val="0"/>
          <w:sz w:val="20"/>
        </w:rPr>
        <w:t xml:space="preserve"> en aspectos medulares que hacen a la política institucional, desarrollo académico, económico, administrativo y problemas relacionados en el marco de la norma universitaria.</w:t>
      </w:r>
    </w:p>
    <w:p>
      <w:pPr>
        <w:spacing w:before="0" w:after="200" w:line="240" w:lineRule="auto"/>
        <w:jc w:val="both"/>
      </w:pPr>
      <w:r>
        <w:rPr>
          <w:rFonts w:ascii="Century Gothic" w:hAnsi="Century Gothic" w:cs="Century Gothic" w:eastAsia="Century Gothic"/>
          <w:b w:val="0"/>
          <w:i w:val="0"/>
          <w:sz w:val="20"/>
        </w:rPr>
        <w:t>Tiene potestad para la conformación de comisiones tales como de evaluación de concursos de méritos y/o exámenes de competencia para docentes y auxiliares de docencia y otras de acuerdo a necesidades.</w:t>
      </w:r>
    </w:p>
    <w:p>
      <w:pPr>
        <w:spacing w:before="0" w:after="200" w:line="240" w:lineRule="auto"/>
        <w:jc w:val="both"/>
      </w:pPr>
      <w:r>
        <w:rPr>
          <w:rFonts w:ascii="Century Gothic" w:hAnsi="Century Gothic" w:cs="Century Gothic" w:eastAsia="Century Gothic"/>
          <w:b w:val="0"/>
          <w:i w:val="0"/>
          <w:sz w:val="20"/>
        </w:rPr>
        <w:t>El Honorable Consejo de Carrera funciona en cogobierno, por tanto, es un órgano de decisión paritaria docente-estudiantil.</w:t>
      </w:r>
    </w:p>
    <w:p>
      <w:pPr>
        <w:spacing w:before="0" w:after="200" w:line="240" w:lineRule="auto"/>
        <w:jc w:val="both"/>
      </w:pPr>
      <w:r>
        <w:rPr>
          <w:rFonts w:ascii="Century Gothic" w:hAnsi="Century Gothic" w:cs="Century Gothic" w:eastAsia="Century Gothic"/>
          <w:b w:val="0"/>
          <w:i w:val="0"/>
          <w:sz w:val="20"/>
        </w:rPr>
        <w:t xml:space="preserve">La </w:t>
      </w:r>
      <w:r>
        <w:rPr>
          <w:rFonts w:ascii="Century Gothic" w:hAnsi="Century Gothic" w:cs="Century Gothic" w:eastAsia="Century Gothic"/>
          <w:b/>
          <w:i w:val="0"/>
          <w:sz w:val="20"/>
        </w:rPr>
        <w:t>Comisión de Convalidaciones y Académica,</w:t>
      </w:r>
      <w:r>
        <w:rPr>
          <w:rFonts w:ascii="Century Gothic" w:hAnsi="Century Gothic" w:cs="Century Gothic" w:eastAsia="Century Gothic"/>
          <w:b w:val="0"/>
          <w:i w:val="0"/>
          <w:sz w:val="20"/>
        </w:rPr>
        <w:t xml:space="preserve"> es designada por el Director de Carrera a docentes titulares correspondiente al Área de Auditoria o Contaduría Pública, quienes cumplen funciones específicas, establecidas en normas universitarias, referente a la revisión de documentos académicos de los estudiantes de la Carrera.</w:t>
      </w:r>
    </w:p>
    <w:p>
      <w:pPr>
        <w:spacing w:before="0" w:after="200" w:line="240" w:lineRule="auto"/>
        <w:jc w:val="both"/>
      </w:pPr>
      <w:r>
        <w:rPr>
          <w:rFonts w:ascii="Century Gothic" w:hAnsi="Century Gothic" w:cs="Century Gothic" w:eastAsia="Century Gothic"/>
          <w:b w:val="0"/>
          <w:i w:val="0"/>
          <w:sz w:val="20"/>
        </w:rPr>
        <w:t xml:space="preserve">El </w:t>
      </w:r>
      <w:r>
        <w:rPr>
          <w:rFonts w:ascii="Century Gothic" w:hAnsi="Century Gothic" w:cs="Century Gothic" w:eastAsia="Century Gothic"/>
          <w:b/>
          <w:i w:val="0"/>
          <w:sz w:val="20"/>
        </w:rPr>
        <w:t>Tribunal de Graduación por Excelencia Académica</w:t>
      </w:r>
      <w:r>
        <w:rPr>
          <w:rFonts w:ascii="Century Gothic" w:hAnsi="Century Gothic" w:cs="Century Gothic" w:eastAsia="Century Gothic"/>
          <w:b w:val="0"/>
          <w:i w:val="0"/>
          <w:sz w:val="20"/>
        </w:rPr>
        <w:t>, es designado por el Director de Carrera a docentes titulares correspondiente al Área de Auditoria o Contaduría Pública, quienes cumplen funciones específicas, establecidas en la normativa del Reglamento de Graduación por Excelencia Académica de la Universidad.</w:t>
      </w:r>
    </w:p>
    <w:p>
      <w:pPr>
        <w:spacing w:before="0" w:after="200" w:line="240" w:lineRule="auto"/>
        <w:jc w:val="both"/>
      </w:pPr>
      <w:r>
        <w:rPr>
          <w:rFonts w:ascii="Century Gothic" w:hAnsi="Century Gothic" w:cs="Century Gothic" w:eastAsia="Century Gothic"/>
          <w:b w:val="0"/>
          <w:i w:val="0"/>
          <w:sz w:val="20"/>
        </w:rPr>
        <w:t xml:space="preserve">La </w:t>
      </w:r>
      <w:r>
        <w:rPr>
          <w:rFonts w:ascii="Century Gothic" w:hAnsi="Century Gothic" w:cs="Century Gothic" w:eastAsia="Century Gothic"/>
          <w:b/>
          <w:i w:val="0"/>
          <w:sz w:val="20"/>
        </w:rPr>
        <w:t>Dirección de la Carrera,</w:t>
      </w:r>
      <w:r>
        <w:rPr>
          <w:rFonts w:ascii="Century Gothic" w:hAnsi="Century Gothic" w:cs="Century Gothic" w:eastAsia="Century Gothic"/>
          <w:b w:val="0"/>
          <w:i w:val="0"/>
          <w:sz w:val="20"/>
        </w:rPr>
        <w:t xml:space="preserve"> es el órgano de dirección funcional y toma de decisiones. Su elección, competencias y atribuciones emanan de las normativas tanto del sistema público de Universidades como de la UMSA.</w:t>
      </w:r>
    </w:p>
    <w:p>
      <w:pPr>
        <w:spacing w:before="0" w:after="200" w:line="240" w:lineRule="auto"/>
        <w:jc w:val="both"/>
      </w:pPr>
      <w:r>
        <w:rPr>
          <w:rFonts w:ascii="Century Gothic" w:hAnsi="Century Gothic" w:cs="Century Gothic" w:eastAsia="Century Gothic"/>
          <w:b w:val="0"/>
          <w:i w:val="0"/>
          <w:sz w:val="20"/>
        </w:rPr>
        <w:t>Sus funciones están referidas a la representación técnico, administrativa y legal de la Carrera; la planificación, dirección, coordinación y supervisión de las actividades académicas, técnico administrativas, económicas y otras, la gestión de las políticas y los objetivos institucionales; la formulación y propuesta de normas internas de desempeño para la mejora de procedimientos; garantizar el cumplimiento de las metas programadas en docencia, investigación e interacción social y dirigir el Honorable Consejo de Carrera y representar en otras instancias universitarias.</w:t>
      </w:r>
    </w:p>
    <w:p>
      <w:pPr>
        <w:spacing w:before="0" w:after="200" w:line="240" w:lineRule="auto"/>
        <w:jc w:val="both"/>
      </w:pPr>
      <w:r>
        <w:rPr>
          <w:rFonts w:ascii="Century Gothic" w:hAnsi="Century Gothic" w:cs="Century Gothic" w:eastAsia="Century Gothic"/>
          <w:b/>
          <w:i w:val="0"/>
          <w:sz w:val="20"/>
        </w:rPr>
        <w:t>El Instituto de Investigaciones en Ciencias Contables</w:t>
      </w:r>
      <w:r>
        <w:rPr>
          <w:rFonts w:ascii="Century Gothic" w:hAnsi="Century Gothic" w:cs="Century Gothic" w:eastAsia="Century Gothic"/>
          <w:b w:val="0"/>
          <w:i w:val="0"/>
          <w:sz w:val="20"/>
        </w:rPr>
        <w:t xml:space="preserve">, </w:t>
      </w:r>
      <w:r>
        <w:rPr>
          <w:rFonts w:ascii="Century Gothic" w:hAnsi="Century Gothic" w:cs="Century Gothic" w:eastAsia="Century Gothic"/>
          <w:b/>
          <w:i w:val="0"/>
          <w:sz w:val="20"/>
        </w:rPr>
        <w:t>Financieras y Auditoria</w:t>
      </w:r>
      <w:r>
        <w:rPr>
          <w:rFonts w:ascii="Century Gothic" w:hAnsi="Century Gothic" w:cs="Century Gothic" w:eastAsia="Century Gothic"/>
          <w:b w:val="0"/>
          <w:i w:val="0"/>
          <w:sz w:val="20"/>
        </w:rPr>
        <w:t xml:space="preserve"> es una unidad científica académica cuyas funciones y atribuciones emergen del Reglamento general de Institutos de investigación de la UMSA y Reglamento interno del propio Instituto.</w:t>
      </w:r>
    </w:p>
    <w:p>
      <w:pPr>
        <w:spacing w:before="0" w:after="200" w:line="240" w:lineRule="auto"/>
        <w:jc w:val="both"/>
      </w:pPr>
      <w:r>
        <w:rPr>
          <w:rFonts w:ascii="Century Gothic" w:hAnsi="Century Gothic" w:cs="Century Gothic" w:eastAsia="Century Gothic"/>
          <w:b w:val="0"/>
          <w:i w:val="0"/>
          <w:sz w:val="20"/>
        </w:rPr>
        <w:t>Tiene cierta autonomía de funcionamiento, aunque depende administrativamente de la Carrera. En la estructura organizativa de esta última, por su carácter de unidad, está ubicado en un nivel de mando intermedio.</w:t>
      </w:r>
    </w:p>
    <w:p>
      <w:pPr>
        <w:spacing w:before="0" w:after="200" w:line="240" w:lineRule="auto"/>
        <w:jc w:val="both"/>
      </w:pPr>
      <w:r>
        <w:rPr>
          <w:rFonts w:ascii="Century Gothic" w:hAnsi="Century Gothic" w:cs="Century Gothic" w:eastAsia="Century Gothic"/>
          <w:b w:val="0"/>
          <w:i w:val="0"/>
          <w:sz w:val="20"/>
        </w:rPr>
        <w:t xml:space="preserve">Tiene bajo su dependencia la </w:t>
      </w:r>
      <w:r>
        <w:rPr>
          <w:rFonts w:ascii="Century Gothic" w:hAnsi="Century Gothic" w:cs="Century Gothic" w:eastAsia="Century Gothic"/>
          <w:b/>
          <w:i w:val="0"/>
          <w:sz w:val="20"/>
        </w:rPr>
        <w:t>Unidad de Postgrado de la Carrera,</w:t>
      </w:r>
      <w:r>
        <w:rPr>
          <w:rFonts w:ascii="Century Gothic" w:hAnsi="Century Gothic" w:cs="Century Gothic" w:eastAsia="Century Gothic"/>
          <w:b w:val="0"/>
          <w:i w:val="0"/>
          <w:sz w:val="20"/>
        </w:rPr>
        <w:t xml:space="preserve"> que oferta programas de maestría, diplomados y cursos de actualización, a cargo de un (a) coordinador (a) a cargo de efectuar sus funciones enmarcadas en el desarrollo de los programas académicos, y cuenta con las Áreas de Información encargada de los archivos y documentación académica de los estudiantes, área Académica encargada del desarrollo de los programas académicos, Área de Programas Virtuales encargada del soporte informático a la Unidad y los programas virtuales, Área de Gestión Financiera encargada de la ejecución de compras y pagos de servicios de la Unidad, y un Apoyo administrativo encargada de la recepción de la documentación y distribución de correspondencia y atención al público en general.</w:t>
      </w:r>
    </w:p>
    <w:p>
      <w:pPr>
        <w:spacing w:before="0" w:after="200" w:line="240" w:lineRule="auto"/>
        <w:jc w:val="both"/>
      </w:pPr>
      <w:r>
        <w:rPr>
          <w:rFonts w:ascii="Century Gothic" w:hAnsi="Century Gothic" w:cs="Century Gothic" w:eastAsia="Century Gothic"/>
          <w:b/>
          <w:i w:val="0"/>
          <w:sz w:val="20"/>
        </w:rPr>
        <w:t>La Jefatura de Dirección</w:t>
      </w:r>
      <w:r>
        <w:rPr>
          <w:rFonts w:ascii="Century Gothic" w:hAnsi="Century Gothic" w:cs="Century Gothic" w:eastAsia="Century Gothic"/>
          <w:b w:val="0"/>
          <w:i w:val="0"/>
          <w:sz w:val="20"/>
        </w:rPr>
        <w:t xml:space="preserve"> tiene como apoyo administrativo</w:t>
      </w:r>
      <w:r>
        <w:rPr>
          <w:rFonts w:ascii="Century Gothic" w:hAnsi="Century Gothic" w:cs="Century Gothic" w:eastAsia="Century Gothic"/>
          <w:b/>
          <w:i w:val="0"/>
          <w:sz w:val="20"/>
        </w:rPr>
        <w:t>,</w:t>
      </w:r>
      <w:r>
        <w:rPr>
          <w:rFonts w:ascii="Century Gothic" w:hAnsi="Century Gothic" w:cs="Century Gothic" w:eastAsia="Century Gothic"/>
          <w:b w:val="0"/>
          <w:i w:val="0"/>
          <w:sz w:val="20"/>
        </w:rPr>
        <w:t xml:space="preserve"> dos secretarias, un profesional en el área contable, un auxiliar de oficina, un encargado de centro de cómputo y personal de servicio y mensajería, cuyas funciones están relacionadas con la clasificación y distribución de la documentación ingresada a la Dirección, la transcripción de planillas, informes y otros, brindar información a los usuarios sobre sus requerimientos, la organización y administración del archivo de la Dirección, el seguimiento de expedientes que ingresan, llevar el control de bienes de las oficinas y aulas, contactos con proveedores para atención de necesidades urgentes, coordinación fluida con personal administrativo de otras dependencias de la UMSA, concreción de reuniones y citas requeridas por el Director, recepción de documentos académicos y administrativos, control de entrada y salida de documentos recibidos, atención telefónica para información a docentes, estudiantes, elaboración y envío de citaciones. Por otro lado, también efectúan labores de mensajería, limpieza de aulas y portería, y otros relacionados a la administración de la gestión académica.</w:t>
      </w:r>
    </w:p>
    <w:p>
      <w:pPr>
        <w:spacing w:before="0" w:after="200" w:line="240" w:lineRule="auto"/>
        <w:jc w:val="both"/>
      </w:pPr>
      <w:r>
        <w:rPr>
          <w:rFonts w:ascii="Century Gothic" w:hAnsi="Century Gothic" w:cs="Century Gothic" w:eastAsia="Century Gothic"/>
          <w:b/>
          <w:i w:val="0"/>
          <w:sz w:val="20"/>
        </w:rPr>
        <w:t>La Unidad de Kárdex</w:t>
      </w:r>
      <w:r>
        <w:rPr>
          <w:rFonts w:ascii="Century Gothic" w:hAnsi="Century Gothic" w:cs="Century Gothic" w:eastAsia="Century Gothic"/>
          <w:b w:val="0"/>
          <w:i w:val="0"/>
          <w:sz w:val="20"/>
        </w:rPr>
        <w:t xml:space="preserve"> realiza todo el proceso de administración académica respecto al registro académico, seguimiento y emisión de certificados de notas, de egreso, manejo de actas de notas, y otras referidas al manejo estadístico.</w:t>
      </w:r>
    </w:p>
    <w:p>
      <w:pPr>
        <w:spacing w:before="0" w:after="200" w:line="240" w:lineRule="auto"/>
        <w:jc w:val="both"/>
      </w:pPr>
      <w:r>
        <w:rPr>
          <w:rFonts w:ascii="Century Gothic" w:hAnsi="Century Gothic" w:cs="Century Gothic" w:eastAsia="Century Gothic"/>
          <w:b/>
          <w:i w:val="0"/>
          <w:sz w:val="20"/>
        </w:rPr>
        <w:t>La Biblioteca Especializada de la Carrera de Contaduría Pública,</w:t>
      </w:r>
      <w:r>
        <w:rPr>
          <w:rFonts w:ascii="Century Gothic" w:hAnsi="Century Gothic" w:cs="Century Gothic" w:eastAsia="Century Gothic"/>
          <w:b w:val="0"/>
          <w:i w:val="0"/>
          <w:sz w:val="20"/>
        </w:rPr>
        <w:t xml:space="preserve"> es un espacio de lectura para que los estudiantes puedan complementar el avance académico de cada docente, el cual es atendido por dos bibliotecarios en dos turnos para dar una mayor atención a los estudiantes.</w:t>
      </w:r>
    </w:p>
    <w:p>
      <w:pPr>
        <w:spacing w:before="0" w:after="200" w:line="240" w:lineRule="auto"/>
        <w:jc w:val="both"/>
      </w:pPr>
      <w:r>
        <w:rPr>
          <w:rFonts w:ascii="Century Gothic" w:hAnsi="Century Gothic" w:cs="Century Gothic" w:eastAsia="Century Gothic"/>
          <w:b w:val="0"/>
          <w:i w:val="0"/>
          <w:sz w:val="20"/>
        </w:rPr>
        <w:t>Las funciones realizadas por el personal administrativo de planta se encuentran consignados en el Manual de funciones de la Universidad y en cuanto a las funciones del personal a contrato sus funciones se detallan en los términos de referencia de los contratos suscritos.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2.6.1</w:t>
        <w:tab/>
      </w:r>
      <w:r>
        <w:rPr>
          <w:rFonts w:ascii="Century Gothic" w:hAnsi="Century Gothic" w:cs="Century Gothic" w:eastAsia="Century Gothic"/>
          <w:b/>
          <w:i w:val="0"/>
          <w:sz w:val="22"/>
        </w:rPr>
        <w:t>PLANTEL ADMINISTRATIVO DE LA CARRERA (copiado del diagnóstico)</w:t>
      </w:r>
    </w:p>
    <w:p>
      <w:pPr>
        <w:spacing w:before="0" w:after="200" w:line="240" w:lineRule="auto"/>
        <w:jc w:val="both"/>
      </w:pPr>
      <w:r>
        <w:rPr>
          <w:rFonts w:ascii="Century Gothic" w:hAnsi="Century Gothic" w:cs="Century Gothic" w:eastAsia="Century Gothic"/>
          <w:b w:val="0"/>
          <w:i w:val="0"/>
          <w:sz w:val="20"/>
        </w:rPr>
        <w:t>La Carrera de Contaduría Pública, para garantizar el cumplimiento de sus funciones sustantivas de formación académica, investigación, interacción social y gestión administrativa, cuenta con una estructura de recurso humano distribuida en las diferentes unidades organizacionales que conforman la Carrera. Este personal constituye el recurso de gestión sobre el que se implementará el nuevo plan de estudios.</w:t>
      </w:r>
    </w:p>
    <w:p>
      <w:pPr>
        <w:spacing w:before="0" w:after="200" w:line="240" w:lineRule="auto"/>
        <w:jc w:val="both"/>
      </w:pPr>
      <w:r>
        <w:rPr>
          <w:rFonts w:ascii="Century Gothic" w:hAnsi="Century Gothic" w:cs="Century Gothic" w:eastAsia="Century Gothic"/>
          <w:b w:val="0"/>
          <w:i w:val="0"/>
          <w:sz w:val="20"/>
        </w:rPr>
        <w:t>En las siguientes tablas se presenta la relación del personal administrativo, diferenciando al personal de planta, personal contratado y personal de las unidades dependientes de la Carrera, detallando la cantidad de servidores, los cargos que desempeñan, las unidades organizacionales en las que prestan servicios y la modalidad de contratación correspondiente.</w:t>
      </w:r>
    </w:p>
    <w:p>
      <w:pPr>
        <w:numPr>
          <w:ilvl w:val="0"/>
          <w:numId w:val="902"/>
        </w:numPr>
        <w:spacing w:before="0" w:after="200" w:line="240" w:lineRule="auto"/>
        <w:jc w:val="both"/>
      </w:pPr>
      <w:r>
        <w:rPr>
          <w:rFonts w:ascii="Century Gothic" w:hAnsi="Century Gothic" w:cs="Century Gothic" w:eastAsia="Century Gothic"/>
          <w:b/>
          <w:i w:val="0"/>
          <w:sz w:val="20"/>
        </w:rPr>
        <w:t>Personal de Planta (item):</w:t>
      </w:r>
      <w:r>
        <w:rPr>
          <w:rFonts w:ascii="Century Gothic" w:hAnsi="Century Gothic" w:cs="Century Gothic" w:eastAsia="Century Gothic"/>
          <w:b w:val="0"/>
          <w:i w:val="0"/>
          <w:sz w:val="20"/>
        </w:rPr>
        <w:tab/>
        <w:tab/>
      </w:r>
    </w:p>
    <w:tbl>
      <w:tblPr>
        <w:tblW w:type="auto" w:w="0"/>
        <w:jc w:val="center"/>
        <w:tblLayout w:type="fixed"/>
        <w:tblLook w:firstColumn="1" w:firstRow="1" w:lastColumn="0" w:lastRow="0" w:noHBand="0" w:noVBand="1" w:val="04A0"/>
      </w:tblPr>
      <w:tblGrid>
        <w:gridCol w:w="2049"/>
        <w:gridCol w:w="3474"/>
        <w:gridCol w:w="3548"/>
      </w:tblGrid>
      <w:tr>
        <w:trPr>
          <w:tblHeader/>
        </w:trPr>
        <w:tc>
          <w:tcPr>
            <w:tcW w:type="dxa" w:w="204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CANTIDAD</w:t>
            </w:r>
          </w:p>
        </w:tc>
        <w:tc>
          <w:tcPr>
            <w:tcW w:type="dxa" w:w="3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CARGO</w:t>
            </w:r>
          </w:p>
        </w:tc>
        <w:tc>
          <w:tcPr>
            <w:tcW w:type="dxa" w:w="35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UNIDAD</w:t>
            </w:r>
          </w:p>
        </w:tc>
      </w:tr>
      <w:tr>
        <w:tc>
          <w:tcPr>
            <w:tcW w:type="dxa" w:w="2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Secretaria Ejecutiva</w:t>
            </w:r>
          </w:p>
        </w:tc>
        <w:tc>
          <w:tcPr>
            <w:tcW w:type="dxa" w:w="35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Dirección de Carrera</w:t>
            </w:r>
          </w:p>
        </w:tc>
      </w:tr>
      <w:tr>
        <w:tc>
          <w:tcPr>
            <w:tcW w:type="dxa" w:w="2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Auxiliar de Oficina</w:t>
            </w:r>
          </w:p>
        </w:tc>
        <w:tc>
          <w:tcPr>
            <w:tcW w:type="dxa" w:w="35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Dirección de Carrera</w:t>
            </w:r>
          </w:p>
        </w:tc>
      </w:tr>
      <w:tr>
        <w:tc>
          <w:tcPr>
            <w:tcW w:type="dxa" w:w="2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Portero I</w:t>
            </w:r>
          </w:p>
        </w:tc>
        <w:tc>
          <w:tcPr>
            <w:tcW w:type="dxa" w:w="35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Dirección de Carrera</w:t>
            </w:r>
          </w:p>
        </w:tc>
      </w:tr>
      <w:tr>
        <w:tc>
          <w:tcPr>
            <w:tcW w:type="dxa" w:w="2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Encargada de Kardex</w:t>
            </w:r>
          </w:p>
        </w:tc>
        <w:tc>
          <w:tcPr>
            <w:tcW w:type="dxa" w:w="35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Kardex Académico</w:t>
            </w:r>
          </w:p>
        </w:tc>
      </w:tr>
      <w:tr>
        <w:tc>
          <w:tcPr>
            <w:tcW w:type="dxa" w:w="2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3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Kardixtas I</w:t>
            </w:r>
          </w:p>
        </w:tc>
        <w:tc>
          <w:tcPr>
            <w:tcW w:type="dxa" w:w="35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Kardex Académico</w:t>
            </w:r>
          </w:p>
        </w:tc>
      </w:tr>
      <w:tr>
        <w:tc>
          <w:tcPr>
            <w:tcW w:type="dxa" w:w="2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Operador de Computación</w:t>
            </w:r>
          </w:p>
        </w:tc>
        <w:tc>
          <w:tcPr>
            <w:tcW w:type="dxa" w:w="35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Centro de Computo</w:t>
            </w:r>
          </w:p>
        </w:tc>
      </w:tr>
      <w:tr>
        <w:tc>
          <w:tcPr>
            <w:tcW w:type="dxa" w:w="2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Transcriptor</w:t>
            </w:r>
          </w:p>
        </w:tc>
        <w:tc>
          <w:tcPr>
            <w:tcW w:type="dxa" w:w="35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Centro de Computo</w:t>
            </w:r>
          </w:p>
        </w:tc>
      </w:tr>
      <w:tr>
        <w:tc>
          <w:tcPr>
            <w:tcW w:type="dxa" w:w="2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3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Bibliotecarios</w:t>
            </w:r>
          </w:p>
        </w:tc>
        <w:tc>
          <w:tcPr>
            <w:tcW w:type="dxa" w:w="35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Biblioteca de la Carrera</w:t>
            </w:r>
          </w:p>
        </w:tc>
      </w:tr>
    </w:tbl>
    <w:p>
      <w:pPr>
        <w:spacing w:before="0" w:after="120" w:line="240" w:lineRule="auto"/>
        <w:jc w:val="left"/>
      </w:pPr>
    </w:p>
    <w:p>
      <w:pPr>
        <w:numPr>
          <w:ilvl w:val="0"/>
          <w:numId w:val="902"/>
        </w:numPr>
        <w:spacing w:before="0" w:after="200" w:line="240" w:lineRule="auto"/>
        <w:jc w:val="both"/>
      </w:pPr>
      <w:r>
        <w:rPr>
          <w:rFonts w:ascii="Century Gothic" w:hAnsi="Century Gothic" w:cs="Century Gothic" w:eastAsia="Century Gothic"/>
          <w:b/>
          <w:i w:val="0"/>
          <w:sz w:val="20"/>
        </w:rPr>
        <w:t>Personal a Contrato</w:t>
      </w:r>
    </w:p>
    <w:tbl>
      <w:tblPr>
        <w:tblW w:type="auto" w:w="0"/>
        <w:jc w:val="center"/>
        <w:tblLayout w:type="fixed"/>
        <w:tblLook w:firstColumn="1" w:firstRow="1" w:lastColumn="0" w:lastRow="0" w:noHBand="0" w:noVBand="1" w:val="04A0"/>
      </w:tblPr>
      <w:tblGrid>
        <w:gridCol w:w="1330"/>
        <w:gridCol w:w="2741"/>
        <w:gridCol w:w="2102"/>
        <w:gridCol w:w="2898"/>
      </w:tblGrid>
      <w:tr>
        <w:trPr>
          <w:tblHeader/>
        </w:trPr>
        <w:tc>
          <w:tcPr>
            <w:tcW w:type="dxa" w:w="133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CANTIDAD</w:t>
            </w:r>
          </w:p>
        </w:tc>
        <w:tc>
          <w:tcPr>
            <w:tcW w:type="dxa" w:w="27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CARGO</w:t>
            </w:r>
          </w:p>
        </w:tc>
        <w:tc>
          <w:tcPr>
            <w:tcW w:type="dxa" w:w="2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UNIDAD</w:t>
            </w:r>
          </w:p>
        </w:tc>
        <w:tc>
          <w:tcPr>
            <w:tcW w:type="dxa" w:w="289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MODALIDAD</w:t>
            </w:r>
          </w:p>
        </w:tc>
      </w:tr>
      <w:tr>
        <w:tc>
          <w:tcPr>
            <w:tcW w:type="dxa" w:w="13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7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 Secretaria Académica</w:t>
            </w:r>
          </w:p>
        </w:tc>
        <w:tc>
          <w:tcPr>
            <w:tcW w:type="dxa" w:w="2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Dirección de Carrera</w:t>
            </w:r>
          </w:p>
        </w:tc>
        <w:tc>
          <w:tcPr>
            <w:tcW w:type="dxa" w:w="28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3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7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 en Gestión Financiera</w:t>
            </w:r>
          </w:p>
        </w:tc>
        <w:tc>
          <w:tcPr>
            <w:tcW w:type="dxa" w:w="2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Dirección de Carrera</w:t>
            </w:r>
          </w:p>
        </w:tc>
        <w:tc>
          <w:tcPr>
            <w:tcW w:type="dxa" w:w="28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3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7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Apoyo Administrativo en Mensajería</w:t>
            </w:r>
          </w:p>
        </w:tc>
        <w:tc>
          <w:tcPr>
            <w:tcW w:type="dxa" w:w="2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Dirección de Carrera</w:t>
            </w:r>
          </w:p>
        </w:tc>
        <w:tc>
          <w:tcPr>
            <w:tcW w:type="dxa" w:w="28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3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7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Operador de Archivo I</w:t>
            </w:r>
          </w:p>
        </w:tc>
        <w:tc>
          <w:tcPr>
            <w:tcW w:type="dxa" w:w="2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Kardex Académico</w:t>
            </w:r>
          </w:p>
        </w:tc>
        <w:tc>
          <w:tcPr>
            <w:tcW w:type="dxa" w:w="28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3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7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II en Sistemas</w:t>
            </w:r>
          </w:p>
        </w:tc>
        <w:tc>
          <w:tcPr>
            <w:tcW w:type="dxa" w:w="2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Kardex Académico</w:t>
            </w:r>
          </w:p>
        </w:tc>
        <w:tc>
          <w:tcPr>
            <w:tcW w:type="dxa" w:w="28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3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7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Apoyo Administrativo en Servicios</w:t>
            </w:r>
          </w:p>
        </w:tc>
        <w:tc>
          <w:tcPr>
            <w:tcW w:type="dxa" w:w="2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Edif. Nava Morales</w:t>
            </w:r>
          </w:p>
        </w:tc>
        <w:tc>
          <w:tcPr>
            <w:tcW w:type="dxa" w:w="28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3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7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Apoyo Administrativo en Servicios</w:t>
            </w:r>
          </w:p>
        </w:tc>
        <w:tc>
          <w:tcPr>
            <w:tcW w:type="dxa" w:w="2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Edif. Nava Morales</w:t>
            </w:r>
          </w:p>
        </w:tc>
        <w:tc>
          <w:tcPr>
            <w:tcW w:type="dxa" w:w="28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 (D.A.F.-U.M.S.A.)</w:t>
            </w:r>
          </w:p>
        </w:tc>
      </w:tr>
      <w:tr>
        <w:tc>
          <w:tcPr>
            <w:tcW w:type="dxa" w:w="13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7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Portero I</w:t>
            </w:r>
          </w:p>
        </w:tc>
        <w:tc>
          <w:tcPr>
            <w:tcW w:type="dxa" w:w="2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Edif. Nava Morales</w:t>
            </w:r>
          </w:p>
        </w:tc>
        <w:tc>
          <w:tcPr>
            <w:tcW w:type="dxa" w:w="28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Personal Eventual (RRHH)</w:t>
            </w:r>
          </w:p>
        </w:tc>
      </w:tr>
      <w:tr>
        <w:tc>
          <w:tcPr>
            <w:tcW w:type="dxa" w:w="13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7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Portero I</w:t>
            </w:r>
          </w:p>
        </w:tc>
        <w:tc>
          <w:tcPr>
            <w:tcW w:type="dxa" w:w="2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Edif. Nava Morales</w:t>
            </w:r>
          </w:p>
        </w:tc>
        <w:tc>
          <w:tcPr>
            <w:tcW w:type="dxa" w:w="28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Personal Eventual (RRHH)</w:t>
            </w:r>
          </w:p>
        </w:tc>
      </w:tr>
      <w:tr>
        <w:tc>
          <w:tcPr>
            <w:tcW w:type="dxa" w:w="13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7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Becaria</w:t>
            </w:r>
          </w:p>
        </w:tc>
        <w:tc>
          <w:tcPr>
            <w:tcW w:type="dxa" w:w="2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Edif. Nava Morales</w:t>
            </w:r>
          </w:p>
        </w:tc>
        <w:tc>
          <w:tcPr>
            <w:tcW w:type="dxa" w:w="28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Beca trabajo</w:t>
            </w:r>
          </w:p>
        </w:tc>
      </w:tr>
      <w:tr>
        <w:tc>
          <w:tcPr>
            <w:tcW w:type="dxa" w:w="13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7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Becario</w:t>
            </w:r>
          </w:p>
        </w:tc>
        <w:tc>
          <w:tcPr>
            <w:tcW w:type="dxa" w:w="2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Edif. Nava Morales</w:t>
            </w:r>
          </w:p>
        </w:tc>
        <w:tc>
          <w:tcPr>
            <w:tcW w:type="dxa" w:w="28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Beca trabajo</w:t>
            </w:r>
          </w:p>
        </w:tc>
      </w:tr>
      <w:tr>
        <w:tc>
          <w:tcPr>
            <w:tcW w:type="dxa" w:w="13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7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Becaria</w:t>
            </w:r>
          </w:p>
        </w:tc>
        <w:tc>
          <w:tcPr>
            <w:tcW w:type="dxa" w:w="2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Monoblock Central</w:t>
            </w:r>
          </w:p>
        </w:tc>
        <w:tc>
          <w:tcPr>
            <w:tcW w:type="dxa" w:w="28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Beca trabajo</w:t>
            </w:r>
          </w:p>
        </w:tc>
      </w:tr>
      <w:tr>
        <w:tc>
          <w:tcPr>
            <w:tcW w:type="dxa" w:w="13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7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Becario (trabajo dirigido)</w:t>
            </w:r>
          </w:p>
        </w:tc>
        <w:tc>
          <w:tcPr>
            <w:tcW w:type="dxa" w:w="2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Monoblock Central</w:t>
            </w:r>
          </w:p>
        </w:tc>
        <w:tc>
          <w:tcPr>
            <w:tcW w:type="dxa" w:w="28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Beca trabajo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 xml:space="preserve">La Carrera de Contaduría Pública desarrolla sus actividades académicas, administrativas y de atención a la comunidad universitaria mediante la participación de </w:t>
      </w:r>
      <w:r>
        <w:rPr>
          <w:rFonts w:ascii="Century Gothic" w:hAnsi="Century Gothic" w:cs="Century Gothic" w:eastAsia="Century Gothic"/>
          <w:b/>
          <w:i w:val="0"/>
          <w:sz w:val="20"/>
        </w:rPr>
        <w:t>23 servidores administrativos</w:t>
      </w:r>
      <w:r>
        <w:rPr>
          <w:rFonts w:ascii="Century Gothic" w:hAnsi="Century Gothic" w:cs="Century Gothic" w:eastAsia="Century Gothic"/>
          <w:b w:val="0"/>
          <w:i w:val="0"/>
          <w:sz w:val="20"/>
        </w:rPr>
        <w:t xml:space="preserve">, de los cuales </w:t>
      </w:r>
      <w:r>
        <w:rPr>
          <w:rFonts w:ascii="Century Gothic" w:hAnsi="Century Gothic" w:cs="Century Gothic" w:eastAsia="Century Gothic"/>
          <w:b/>
          <w:i w:val="0"/>
          <w:sz w:val="20"/>
        </w:rPr>
        <w:t>10 corresponden a personal de planta</w:t>
      </w:r>
      <w:r>
        <w:rPr>
          <w:rFonts w:ascii="Century Gothic" w:hAnsi="Century Gothic" w:cs="Century Gothic" w:eastAsia="Century Gothic"/>
          <w:b w:val="0"/>
          <w:i w:val="0"/>
          <w:sz w:val="20"/>
        </w:rPr>
        <w:t xml:space="preserve"> (43,48%) y </w:t>
      </w:r>
      <w:r>
        <w:rPr>
          <w:rFonts w:ascii="Century Gothic" w:hAnsi="Century Gothic" w:cs="Century Gothic" w:eastAsia="Century Gothic"/>
          <w:b/>
          <w:i w:val="0"/>
          <w:sz w:val="20"/>
        </w:rPr>
        <w:t>13 a personal contratado</w:t>
      </w:r>
      <w:r>
        <w:rPr>
          <w:rFonts w:ascii="Century Gothic" w:hAnsi="Century Gothic" w:cs="Century Gothic" w:eastAsia="Century Gothic"/>
          <w:b w:val="0"/>
          <w:i w:val="0"/>
          <w:sz w:val="20"/>
        </w:rPr>
        <w:t xml:space="preserve"> (56,52%), distribuidos bajo las modalidades de consultoría en línea, personal eventual y beca trabajo.</w:t>
      </w:r>
    </w:p>
    <w:p>
      <w:pPr>
        <w:spacing w:before="0" w:after="200" w:line="240" w:lineRule="auto"/>
        <w:jc w:val="both"/>
      </w:pPr>
      <w:r>
        <w:rPr>
          <w:rFonts w:ascii="Century Gothic" w:hAnsi="Century Gothic" w:cs="Century Gothic" w:eastAsia="Century Gothic"/>
          <w:b w:val="0"/>
          <w:i w:val="0"/>
          <w:sz w:val="20"/>
        </w:rPr>
        <w:t xml:space="preserve">Del análisis de la estructura del recurso humano se evidencia que la mayor parte del personal administrativo corresponde a personal contratado, cuya contratación es financiada con recursos propios generados por la Carrera, debido a que la dotación de ítems de planta asignada por la Universidad resulta </w:t>
      </w:r>
      <w:r>
        <w:rPr>
          <w:rFonts w:ascii="Century Gothic" w:hAnsi="Century Gothic" w:cs="Century Gothic" w:eastAsia="Century Gothic"/>
          <w:b/>
          <w:i w:val="0"/>
          <w:sz w:val="20"/>
        </w:rPr>
        <w:t>insuficiente</w:t>
      </w:r>
      <w:r>
        <w:rPr>
          <w:rFonts w:ascii="Century Gothic" w:hAnsi="Century Gothic" w:cs="Century Gothic" w:eastAsia="Century Gothic"/>
          <w:b w:val="0"/>
          <w:i w:val="0"/>
          <w:sz w:val="20"/>
        </w:rPr>
        <w:t xml:space="preserve"> para atender las necesidades institucionales.</w:t>
      </w:r>
    </w:p>
    <w:p>
      <w:pPr>
        <w:spacing w:before="0" w:after="200" w:line="240" w:lineRule="auto"/>
        <w:jc w:val="both"/>
      </w:pPr>
      <w:r>
        <w:rPr>
          <w:rFonts w:ascii="Century Gothic" w:hAnsi="Century Gothic" w:cs="Century Gothic" w:eastAsia="Century Gothic"/>
          <w:b w:val="0"/>
          <w:i w:val="0"/>
          <w:sz w:val="20"/>
        </w:rPr>
        <w:t>Si bien el personal de planta garantiza el funcionamiento básico de unidades como la Dirección de Carrera, Kardex Académico, Centro de Cómputo y Biblioteca, la creciente demanda de servicios académicos y administrativos ha hecho indispensable la contratación de personal adicional para fortalecer áreas estratégicas como Dirección de Carrera y la Unidad de Kardex Académico, además del apoyo brindado mediante el programa de becas trabajo.</w:t>
      </w:r>
    </w:p>
    <w:p>
      <w:pPr>
        <w:spacing w:before="0" w:after="200" w:line="240" w:lineRule="auto"/>
        <w:jc w:val="both"/>
      </w:pPr>
      <w:r>
        <w:rPr>
          <w:rFonts w:ascii="Century Gothic" w:hAnsi="Century Gothic" w:cs="Century Gothic" w:eastAsia="Century Gothic"/>
          <w:b w:val="0"/>
          <w:i w:val="0"/>
          <w:sz w:val="20"/>
        </w:rPr>
        <w:t xml:space="preserve">Esta situación responde a que la Carrera de Contaduría Pública constituye una de las unidades académicas con gran población estudiantil a nivel Universidad, lo que implica una elevada demanda de trámites académicos, atención al estudiante, procesos administrativos, actividades de investigación, interacción social y apoyo a programas de pregrado y posgrado. En consecuencia, el </w:t>
      </w:r>
      <w:r>
        <w:rPr>
          <w:rFonts w:ascii="Century Gothic" w:hAnsi="Century Gothic" w:cs="Century Gothic" w:eastAsia="Century Gothic"/>
          <w:b/>
          <w:i w:val="0"/>
          <w:sz w:val="20"/>
        </w:rPr>
        <w:t>personal de planta</w:t>
      </w:r>
      <w:r>
        <w:rPr>
          <w:rFonts w:ascii="Century Gothic" w:hAnsi="Century Gothic" w:cs="Century Gothic" w:eastAsia="Century Gothic"/>
          <w:b w:val="0"/>
          <w:i w:val="0"/>
          <w:sz w:val="20"/>
        </w:rPr>
        <w:t xml:space="preserve"> asignado no resulta suficiente para garantizar una atención eficiente y oportuna a toda la comunidad universitaria.</w:t>
      </w:r>
    </w:p>
    <w:p>
      <w:pPr>
        <w:spacing w:before="0" w:after="200" w:line="240" w:lineRule="auto"/>
        <w:jc w:val="both"/>
      </w:pPr>
      <w:r>
        <w:rPr>
          <w:rFonts w:ascii="Century Gothic" w:hAnsi="Century Gothic" w:cs="Century Gothic" w:eastAsia="Century Gothic"/>
          <w:b w:val="0"/>
          <w:i w:val="0"/>
          <w:sz w:val="20"/>
        </w:rPr>
        <w:t>En ese contexto, la contratación de personal con recursos propios constituye una medida institucional necesaria para asegurar la continuidad y calidad de los servicios administrativos, permitiendo mantener el funcionamiento permanente de las diferentes unidades organizacionales y responder oportunamente a los requerimientos de estudiantes, docentes y autoridades.</w:t>
      </w:r>
    </w:p>
    <w:p>
      <w:pPr>
        <w:spacing w:before="0" w:after="200" w:line="240" w:lineRule="auto"/>
        <w:jc w:val="both"/>
      </w:pPr>
      <w:r>
        <w:rPr>
          <w:rFonts w:ascii="Century Gothic" w:hAnsi="Century Gothic" w:cs="Century Gothic" w:eastAsia="Century Gothic"/>
          <w:b w:val="0"/>
          <w:i w:val="0"/>
          <w:sz w:val="20"/>
        </w:rPr>
        <w:t>No obstante, la dependencia de personal contratado evidencia la necesidad de fortalecer la estructura administrativa mediante la creación y asignación de nuevos ítems de planta, considerando el tamaño, complejidad y permanente crecimiento de la Carrera de Contaduría Pública, con el propósito de garantizar la sostenibilidad institucional y reducir la dependencia de contrataciones financiadas con recursos propios.</w:t>
      </w:r>
    </w:p>
    <w:p>
      <w:pPr>
        <w:numPr>
          <w:ilvl w:val="0"/>
          <w:numId w:val="902"/>
        </w:numPr>
        <w:spacing w:before="0" w:after="200" w:line="240" w:lineRule="auto"/>
        <w:jc w:val="both"/>
      </w:pPr>
      <w:r>
        <w:rPr>
          <w:rFonts w:ascii="Century Gothic" w:hAnsi="Century Gothic" w:cs="Century Gothic" w:eastAsia="Century Gothic"/>
          <w:b/>
          <w:i w:val="0"/>
          <w:sz w:val="20"/>
        </w:rPr>
        <w:t>Personal de Unidades dependientes de la Carrera:</w:t>
      </w:r>
      <w:r>
        <w:rPr>
          <w:rFonts w:ascii="Century Gothic" w:hAnsi="Century Gothic" w:cs="Century Gothic" w:eastAsia="Century Gothic"/>
          <w:b w:val="0"/>
          <w:i w:val="0"/>
          <w:sz w:val="20"/>
        </w:rPr>
        <w:t xml:space="preserve"> </w:t>
      </w:r>
    </w:p>
    <w:tbl>
      <w:tblPr>
        <w:tblW w:type="auto" w:w="0"/>
        <w:jc w:val="center"/>
        <w:tblLayout w:type="fixed"/>
        <w:tblLook w:firstColumn="1" w:firstRow="1" w:lastColumn="0" w:lastRow="0" w:noHBand="0" w:noVBand="1" w:val="04A0"/>
      </w:tblPr>
      <w:tblGrid>
        <w:gridCol w:w="1121"/>
        <w:gridCol w:w="2885"/>
        <w:gridCol w:w="3292"/>
        <w:gridCol w:w="1772"/>
      </w:tblGrid>
      <w:tr>
        <w:trPr>
          <w:tblHeader/>
        </w:trPr>
        <w:tc>
          <w:tcPr>
            <w:tcW w:type="dxa" w:w="112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CANTIDAD</w:t>
            </w:r>
          </w:p>
        </w:tc>
        <w:tc>
          <w:tcPr>
            <w:tcW w:type="dxa" w:w="288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CARGO</w:t>
            </w:r>
          </w:p>
        </w:tc>
        <w:tc>
          <w:tcPr>
            <w:tcW w:type="dxa" w:w="329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UNIDAD</w:t>
            </w:r>
          </w:p>
        </w:tc>
        <w:tc>
          <w:tcPr>
            <w:tcW w:type="dxa" w:w="177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MODALIDAD</w:t>
            </w:r>
          </w:p>
        </w:tc>
      </w:tr>
      <w:tr>
        <w:tc>
          <w:tcPr>
            <w:tcW w:type="dxa" w:w="11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8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 en Gestión Académica y Financiera</w:t>
            </w:r>
          </w:p>
        </w:tc>
        <w:tc>
          <w:tcPr>
            <w:tcW w:type="dxa" w:w="32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Plan Excepcional de Titulación Para Antiguos Estudiantes No Graduados</w:t>
            </w:r>
          </w:p>
        </w:tc>
        <w:tc>
          <w:tcPr>
            <w:tcW w:type="dxa" w:w="17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8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Apoyo Administrativo</w:t>
            </w:r>
          </w:p>
        </w:tc>
        <w:tc>
          <w:tcPr>
            <w:tcW w:type="dxa" w:w="32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Plan Excepcional de Titulación Para Antiguos Estudiantes No Graduados</w:t>
            </w:r>
          </w:p>
        </w:tc>
        <w:tc>
          <w:tcPr>
            <w:tcW w:type="dxa" w:w="17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8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II Gestión Secretarial</w:t>
            </w:r>
          </w:p>
        </w:tc>
        <w:tc>
          <w:tcPr>
            <w:tcW w:type="dxa" w:w="32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Unidad de Postgrado</w:t>
            </w:r>
          </w:p>
        </w:tc>
        <w:tc>
          <w:tcPr>
            <w:tcW w:type="dxa" w:w="17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8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 Responsable Académico en Gestión Documental</w:t>
            </w:r>
          </w:p>
        </w:tc>
        <w:tc>
          <w:tcPr>
            <w:tcW w:type="dxa" w:w="32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Unidad de Postgrado</w:t>
            </w:r>
          </w:p>
        </w:tc>
        <w:tc>
          <w:tcPr>
            <w:tcW w:type="dxa" w:w="17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8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II En Gestión Administrativa Financiera</w:t>
            </w:r>
          </w:p>
        </w:tc>
        <w:tc>
          <w:tcPr>
            <w:tcW w:type="dxa" w:w="32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Unidad de Postgrado</w:t>
            </w:r>
          </w:p>
        </w:tc>
        <w:tc>
          <w:tcPr>
            <w:tcW w:type="dxa" w:w="17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8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II Operador en Sistemas Y Administrativo</w:t>
            </w:r>
          </w:p>
        </w:tc>
        <w:tc>
          <w:tcPr>
            <w:tcW w:type="dxa" w:w="32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Unidad de Postgrado</w:t>
            </w:r>
          </w:p>
        </w:tc>
        <w:tc>
          <w:tcPr>
            <w:tcW w:type="dxa" w:w="17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8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Apoyo Administrativo</w:t>
            </w:r>
          </w:p>
        </w:tc>
        <w:tc>
          <w:tcPr>
            <w:tcW w:type="dxa" w:w="32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Unidad de Postgrado</w:t>
            </w:r>
          </w:p>
        </w:tc>
        <w:tc>
          <w:tcPr>
            <w:tcW w:type="dxa" w:w="17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Las unidades dependientes de la Carrera de Contaduría Pública cuentan con personal administrativo contratado bajo la modalidad de Consultoría en Línea, financiado íntegramente con los recursos propios generados por cada unidad, sin disponer de ítems de planta asignados para el desarrollo de sus actividades.</w:t>
      </w:r>
    </w:p>
    <w:p>
      <w:pPr>
        <w:spacing w:before="0" w:after="200" w:line="240" w:lineRule="auto"/>
        <w:jc w:val="both"/>
      </w:pPr>
      <w:r>
        <w:rPr>
          <w:rFonts w:ascii="Century Gothic" w:hAnsi="Century Gothic" w:cs="Century Gothic" w:eastAsia="Century Gothic"/>
          <w:b w:val="0"/>
          <w:i w:val="0"/>
          <w:sz w:val="20"/>
        </w:rPr>
        <w:t>En este contexto, el Plan Excepcional de Titulación para Antiguos Estudiantes No Graduados (PETAEG) financia la contratación de dos servidores administrativos, responsables de la gestión académica, financiera y del apoyo administrativo requerido para la atención de los estudiantes y la ejecución de sus procesos.</w:t>
      </w:r>
    </w:p>
    <w:p>
      <w:pPr>
        <w:spacing w:before="0" w:after="200" w:line="240" w:lineRule="auto"/>
        <w:jc w:val="both"/>
      </w:pPr>
      <w:r>
        <w:rPr>
          <w:rFonts w:ascii="Century Gothic" w:hAnsi="Century Gothic" w:cs="Century Gothic" w:eastAsia="Century Gothic"/>
          <w:b w:val="0"/>
          <w:i w:val="0"/>
          <w:sz w:val="20"/>
        </w:rPr>
        <w:t>Por su parte, la Unidad de Postgrado sostiene con recursos propios la contratación de cinco servidores administrativos especializados en las áreas de gestión secretarial, gestión documental, administración financiera, sistemas y apoyo administrativo, garantizando el funcionamiento operativo, académico y administrativo de los programas de postgrado.</w:t>
      </w:r>
    </w:p>
    <w:p>
      <w:pPr>
        <w:spacing w:before="0" w:after="200" w:line="240" w:lineRule="auto"/>
        <w:jc w:val="both"/>
      </w:pPr>
      <w:r>
        <w:rPr>
          <w:rFonts w:ascii="Century Gothic" w:hAnsi="Century Gothic" w:cs="Century Gothic" w:eastAsia="Century Gothic"/>
          <w:b w:val="0"/>
          <w:i w:val="0"/>
          <w:sz w:val="20"/>
        </w:rPr>
        <w:t>La contratación de este personal refleja la capacidad de autogestión de las unidades dependientes de la Carrera, permitiéndoles atender de manera eficiente sus requerimientos específicos sin afectar la estructura administrativa de la Carrera. Sin embargo, también evidencia que el funcionamiento de estas unidades depende de la disponibilidad de recursos propios, puesto que no cuentan con personal de planta asignado por la Universidad para el cumplimiento de sus funciones permanentes.</w:t>
      </w:r>
    </w:p>
    <w:p>
      <w:pPr>
        <w:spacing w:before="0" w:after="200" w:line="240" w:lineRule="auto"/>
        <w:jc w:val="both"/>
      </w:pPr>
      <w:r>
        <w:rPr>
          <w:rFonts w:ascii="Century Gothic" w:hAnsi="Century Gothic" w:cs="Century Gothic" w:eastAsia="Century Gothic"/>
          <w:b w:val="0"/>
          <w:i w:val="0"/>
          <w:sz w:val="20"/>
        </w:rPr>
        <w:t>En consecuencia, la sostenibilidad de estas unidades está directamente vinculada a la generación de recursos propios, los cuales hacen posible la contratación del recurso humano necesario para garantizar la continuidad y calidad de los servicios académicos y administrativos que prestan.</w:t>
      </w:r>
    </w:p>
    <w:p>
      <w:pPr>
        <w:spacing w:before="0" w:after="200" w:line="240" w:lineRule="auto"/>
        <w:jc w:val="both"/>
      </w:pPr>
      <w:r>
        <w:rPr>
          <w:rFonts w:ascii="Century Gothic" w:hAnsi="Century Gothic" w:cs="Century Gothic" w:eastAsia="Century Gothic"/>
          <w:b w:val="0"/>
          <w:i w:val="0"/>
          <w:sz w:val="20"/>
        </w:rPr>
        <w:t xml:space="preserve">Considerando que la Carrera de Contaduría Pública cuenta con una población de </w:t>
      </w:r>
      <w:r>
        <w:rPr>
          <w:rFonts w:ascii="Century Gothic" w:hAnsi="Century Gothic" w:cs="Century Gothic" w:eastAsia="Century Gothic"/>
          <w:b/>
          <w:i w:val="0"/>
          <w:sz w:val="20"/>
        </w:rPr>
        <w:t>cuatro mil doscientos ochenta y tres (4.283)</w:t>
      </w:r>
      <w:r>
        <w:rPr>
          <w:rFonts w:ascii="Century Gothic" w:hAnsi="Century Gothic" w:cs="Century Gothic" w:eastAsia="Century Gothic"/>
          <w:b w:val="0"/>
          <w:i w:val="0"/>
          <w:sz w:val="20"/>
        </w:rPr>
        <w:t xml:space="preserve"> estudiantes matriculados y </w:t>
      </w:r>
      <w:r>
        <w:rPr>
          <w:rFonts w:ascii="Century Gothic" w:hAnsi="Century Gothic" w:cs="Century Gothic" w:eastAsia="Century Gothic"/>
          <w:b/>
          <w:i w:val="0"/>
          <w:sz w:val="20"/>
        </w:rPr>
        <w:t>tres mil cientos cuarenta y tres (3.143)</w:t>
      </w:r>
      <w:r>
        <w:rPr>
          <w:rFonts w:ascii="Century Gothic" w:hAnsi="Century Gothic" w:cs="Century Gothic" w:eastAsia="Century Gothic"/>
          <w:b w:val="0"/>
          <w:i w:val="0"/>
          <w:sz w:val="20"/>
        </w:rPr>
        <w:t xml:space="preserve"> estudiantes inscritos, se evidencia que el recurso humano administrativo disponible permite atender las actividades académicas y administrativas. No obstante, esta capacidad operativa se ha logrado principalmente mediante la incorporación de personal contratado, financiado con recursos propios de la Carrera, debido a que la dotación de personal de planta resulta insuficiente para cubrir la demanda de servicios que genera una unidad académica de esta magnitud.</w:t>
      </w:r>
    </w:p>
    <w:p>
      <w:pPr>
        <w:spacing w:before="0" w:after="200" w:line="240" w:lineRule="auto"/>
        <w:jc w:val="both"/>
      </w:pPr>
      <w:r>
        <w:rPr>
          <w:rFonts w:ascii="Century Gothic" w:hAnsi="Century Gothic" w:cs="Century Gothic" w:eastAsia="Century Gothic"/>
          <w:b w:val="0"/>
          <w:i w:val="0"/>
          <w:sz w:val="20"/>
        </w:rPr>
        <w:t>En consecuencia, el adecuado funcionamiento de la Carrera depende, en gran medida, de la contratación de personal bajo diferentes modalidades, lo que permite garantizar la continuidad, eficiencia y oportunidad en la prestación de los servicios administrativos y académicos a la comunidad universitaria.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2.7</w:t>
        <w:tab/>
      </w:r>
      <w:r>
        <w:rPr>
          <w:rFonts w:ascii="Century Gothic" w:hAnsi="Century Gothic" w:cs="Century Gothic" w:eastAsia="Century Gothic"/>
          <w:b/>
          <w:i w:val="0"/>
          <w:sz w:val="24"/>
        </w:rPr>
        <w:t>Estadísticas del Programa/carrera (copiado del diagnóstico)</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2.7.1</w:t>
        <w:tab/>
      </w:r>
      <w:r>
        <w:rPr>
          <w:rFonts w:ascii="Century Gothic" w:hAnsi="Century Gothic" w:cs="Century Gothic" w:eastAsia="Century Gothic"/>
          <w:b/>
          <w:i w:val="0"/>
          <w:sz w:val="22"/>
        </w:rPr>
        <w:t>Cuerpo Docente</w:t>
      </w:r>
    </w:p>
    <w:tbl>
      <w:tblPr>
        <w:tblW w:type="auto" w:w="0"/>
        <w:jc w:val="center"/>
        <w:tblLayout w:type="fixed"/>
        <w:tblLook w:firstColumn="1" w:firstRow="1" w:lastColumn="0" w:lastRow="0" w:noHBand="0" w:noVBand="1" w:val="04A0"/>
      </w:tblPr>
      <w:tblGrid>
        <w:gridCol w:w="3771"/>
        <w:gridCol w:w="2489"/>
        <w:gridCol w:w="2811"/>
      </w:tblGrid>
      <w:tr>
        <w:trPr>
          <w:tblHeader/>
        </w:trPr>
        <w:tc>
          <w:tcPr>
            <w:tcW w:type="dxa" w:w="37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Categoría docente</w:t>
            </w:r>
          </w:p>
        </w:tc>
        <w:tc>
          <w:tcPr>
            <w:tcW w:type="dxa" w:w="248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w:t>
            </w:r>
          </w:p>
        </w:tc>
        <w:tc>
          <w:tcPr>
            <w:tcW w:type="dxa" w:w="281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Porcentaje</w:t>
            </w:r>
          </w:p>
        </w:tc>
      </w:tr>
      <w:tr>
        <w:tc>
          <w:tcPr>
            <w:tcW w:type="dxa" w:w="37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Docentes titulares</w:t>
            </w:r>
          </w:p>
        </w:tc>
        <w:tc>
          <w:tcPr>
            <w:tcW w:type="dxa" w:w="24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85</w:t>
            </w:r>
          </w:p>
        </w:tc>
        <w:tc>
          <w:tcPr>
            <w:tcW w:type="dxa" w:w="28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46,45%</w:t>
            </w:r>
          </w:p>
        </w:tc>
      </w:tr>
      <w:tr>
        <w:tc>
          <w:tcPr>
            <w:tcW w:type="dxa" w:w="37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Docentes interinos</w:t>
            </w:r>
          </w:p>
        </w:tc>
        <w:tc>
          <w:tcPr>
            <w:tcW w:type="dxa" w:w="24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98</w:t>
            </w:r>
          </w:p>
        </w:tc>
        <w:tc>
          <w:tcPr>
            <w:tcW w:type="dxa" w:w="28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53,55%</w:t>
            </w:r>
          </w:p>
        </w:tc>
      </w:tr>
      <w:tr>
        <w:tc>
          <w:tcPr>
            <w:tcW w:type="dxa" w:w="37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 DOCENTES</w:t>
            </w:r>
          </w:p>
        </w:tc>
        <w:tc>
          <w:tcPr>
            <w:tcW w:type="dxa" w:w="24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183</w:t>
            </w:r>
          </w:p>
        </w:tc>
        <w:tc>
          <w:tcPr>
            <w:tcW w:type="dxa" w:w="28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100%</w:t>
            </w:r>
          </w:p>
        </w:tc>
      </w:tr>
    </w:tbl>
    <w:p>
      <w:pPr>
        <w:spacing w:before="0" w:after="120" w:line="240" w:lineRule="auto"/>
        <w:jc w:val="left"/>
      </w:pPr>
    </w:p>
    <w:p>
      <w:pPr>
        <w:spacing w:before="0" w:after="200" w:line="240" w:lineRule="auto"/>
        <w:ind w:left="357"/>
        <w:jc w:val="both"/>
      </w:pPr>
      <w:r>
        <w:rPr>
          <w:rFonts w:ascii="Century Gothic" w:hAnsi="Century Gothic" w:cs="Century Gothic" w:eastAsia="Century Gothic"/>
          <w:b/>
          <w:i w:val="0"/>
          <w:sz w:val="20"/>
        </w:rPr>
        <w:t>Nota:</w:t>
      </w:r>
      <w:r>
        <w:rPr>
          <w:rFonts w:ascii="Century Gothic" w:hAnsi="Century Gothic" w:cs="Century Gothic" w:eastAsia="Century Gothic"/>
          <w:b w:val="0"/>
          <w:i w:val="0"/>
          <w:sz w:val="20"/>
        </w:rPr>
        <w:t xml:space="preserve"> </w:t>
      </w:r>
      <w:r>
        <w:rPr>
          <w:rFonts w:ascii="Century Gothic" w:hAnsi="Century Gothic" w:cs="Century Gothic" w:eastAsia="Century Gothic"/>
          <w:b w:val="0"/>
          <w:i/>
          <w:sz w:val="20"/>
        </w:rPr>
        <w:t>El total de docentes corresponde a materias de 32 Hrs, La proporción de docentes interinos (53,55%) es indicador de una condición institucional que incide en la estabilidad pedagógica y en los procesos de investigación y extensión universitaria. El proceso de rediseño debe contemplar una estrategia de fortalecimiento del plantel docente titular.</w:t>
      </w:r>
    </w:p>
    <w:p>
      <w:pPr>
        <w:spacing w:before="0" w:after="200" w:line="240" w:lineRule="auto"/>
        <w:jc w:val="both"/>
      </w:pPr>
      <w:r>
        <w:rPr>
          <w:rFonts w:ascii="Century Gothic" w:hAnsi="Century Gothic" w:cs="Century Gothic" w:eastAsia="Century Gothic"/>
          <w:b/>
          <w:i w:val="0"/>
          <w:sz w:val="20"/>
        </w:rPr>
        <w:t>Cuadro 6:</w:t>
      </w:r>
    </w:p>
    <w:p>
      <w:pPr>
        <w:keepNext/>
        <w:spacing w:before="40" w:after="200" w:line="240" w:lineRule="auto"/>
        <w:jc w:val="left"/>
      </w:pPr>
      <w:r>
        <w:rPr>
          <w:rFonts w:ascii="Century Gothic" w:hAnsi="Century Gothic" w:cs="Century Gothic" w:eastAsia="Century Gothic"/>
          <w:b/>
          <w:i w:val="0"/>
          <w:sz w:val="22"/>
        </w:rPr>
        <w:t>Carga Horaria por Docentes, Áreas y Asignaturas</w:t>
      </w:r>
    </w:p>
    <w:p>
      <w:pPr>
        <w:spacing w:before="0" w:after="200" w:line="240" w:lineRule="auto"/>
        <w:jc w:val="both"/>
      </w:pPr>
      <w:r>
        <w:rPr>
          <w:rFonts w:ascii="Century Gothic" w:hAnsi="Century Gothic" w:cs="Century Gothic" w:eastAsia="Century Gothic"/>
          <w:b w:val="0"/>
          <w:i w:val="0"/>
          <w:sz w:val="20"/>
        </w:rPr>
        <w:t>Expresado en cantidad de docentes</w:t>
      </w:r>
    </w:p>
    <w:tbl>
      <w:tblPr>
        <w:tblW w:type="auto" w:w="0"/>
        <w:jc w:val="center"/>
        <w:tblLayout w:type="fixed"/>
        <w:tblLook w:firstColumn="1" w:firstRow="1" w:lastColumn="0" w:lastRow="0" w:noHBand="0" w:noVBand="1" w:val="04A0"/>
      </w:tblPr>
      <w:tblGrid>
        <w:gridCol w:w="2268"/>
        <w:gridCol w:w="850"/>
        <w:gridCol w:w="850"/>
        <w:gridCol w:w="850"/>
        <w:gridCol w:w="850"/>
        <w:gridCol w:w="850"/>
        <w:gridCol w:w="850"/>
        <w:gridCol w:w="850"/>
        <w:gridCol w:w="850"/>
      </w:tblGrid>
      <w:tr>
        <w:trPr>
          <w:tblHeader/>
        </w:trPr>
        <w:tc>
          <w:tcPr>
            <w:tcW w:type="dxa" w:w="2268"/>
            <w:vMerge w:val="restart"/>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Docentes</w:t>
            </w:r>
          </w:p>
        </w:tc>
        <w:tc>
          <w:tcPr>
            <w:tcW w:type="dxa" w:w="5950"/>
            <w:gridSpan w:val="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Horas</w:t>
            </w:r>
          </w:p>
        </w:tc>
        <w:tc>
          <w:tcPr>
            <w:tcW w:type="dxa" w:w="850"/>
            <w:vMerge w:val="restart"/>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Total</w:t>
            </w:r>
          </w:p>
        </w:tc>
      </w:tr>
      <w:tr>
        <w:tc>
          <w:tcPr>
            <w:tcW w:type="dxa" w:w="2268"/>
            <w:vMerge/>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32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64</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48</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96</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112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128</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160</w:t>
            </w:r>
          </w:p>
        </w:tc>
        <w:tc>
          <w:tcPr>
            <w:tcW w:type="dxa" w:w="850"/>
            <w:vMerge/>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Áreas Troncales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Área de Información Financiera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Área de Servicios de Atestación y no Atestación</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Total Áreas Troncales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43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6</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73</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Áreas Contextuales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Área de Administración</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Área de Derecho</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Área de Economía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 Área de Matemáticas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Total Áreas Contextuales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7</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6</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35</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Total Áreas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63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27</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8</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8</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108</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Fuente: Reporte Personal Docente</w:t>
      </w:r>
    </w:p>
    <w:p>
      <w:pPr>
        <w:keepNext/>
        <w:spacing w:before="40" w:after="200" w:line="240" w:lineRule="auto"/>
        <w:jc w:val="left"/>
      </w:pPr>
      <w:r>
        <w:rPr>
          <w:rFonts w:ascii="Century Gothic" w:hAnsi="Century Gothic" w:cs="Century Gothic" w:eastAsia="Century Gothic"/>
          <w:b/>
          <w:i w:val="0"/>
          <w:sz w:val="22"/>
        </w:rPr>
        <w:t>Resumen</w:t>
      </w:r>
    </w:p>
    <w:tbl>
      <w:tblPr>
        <w:tblW w:type="auto" w:w="0"/>
        <w:jc w:val="center"/>
        <w:tblLayout w:type="fixed"/>
        <w:tblLook w:firstColumn="1" w:firstRow="1" w:lastColumn="0" w:lastRow="0" w:noHBand="0" w:noVBand="1" w:val="04A0"/>
      </w:tblPr>
      <w:tblGrid>
        <w:gridCol w:w="6855"/>
        <w:gridCol w:w="2216"/>
      </w:tblGrid>
      <w:tr>
        <w:trPr>
          <w:tblHeader/>
        </w:trPr>
        <w:tc>
          <w:tcPr>
            <w:tcW w:type="dxa" w:w="68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Sumatoria total según cuadro</w:t>
            </w:r>
          </w:p>
        </w:tc>
        <w:tc>
          <w:tcPr>
            <w:tcW w:type="dxa" w:w="221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108</w:t>
            </w:r>
          </w:p>
        </w:tc>
      </w:tr>
      <w:tr>
        <w:tc>
          <w:tcPr>
            <w:tcW w:type="dxa" w:w="6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(Menos)</w:t>
            </w:r>
          </w:p>
        </w:tc>
        <w:tc>
          <w:tcPr>
            <w:tcW w:type="dxa" w:w="2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6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Docentes duplicados en 3 áreas distintas: 2 docentes tienen 2 repeticiones</w:t>
            </w:r>
          </w:p>
        </w:tc>
        <w:tc>
          <w:tcPr>
            <w:tcW w:type="dxa" w:w="2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r>
      <w:tr>
        <w:tc>
          <w:tcPr>
            <w:tcW w:type="dxa" w:w="6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Docentes duplicados en 2 áreas distintas: 22 docentes tienen una repetición</w:t>
            </w:r>
          </w:p>
        </w:tc>
        <w:tc>
          <w:tcPr>
            <w:tcW w:type="dxa" w:w="2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22</w:t>
            </w:r>
          </w:p>
        </w:tc>
      </w:tr>
      <w:tr>
        <w:tc>
          <w:tcPr>
            <w:tcW w:type="dxa" w:w="6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 de docentes</w:t>
            </w:r>
          </w:p>
        </w:tc>
        <w:tc>
          <w:tcPr>
            <w:tcW w:type="dxa" w:w="2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82</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La información contenida en el Cuadro No 6, permite establecer que:</w:t>
      </w:r>
    </w:p>
    <w:p>
      <w:pPr>
        <w:numPr>
          <w:ilvl w:val="0"/>
          <w:numId w:val="903"/>
        </w:numPr>
        <w:spacing w:before="0" w:after="160" w:line="240" w:lineRule="auto"/>
        <w:jc w:val="both"/>
      </w:pPr>
      <w:r>
        <w:rPr>
          <w:rFonts w:ascii="Century Gothic" w:hAnsi="Century Gothic" w:cs="Century Gothic" w:eastAsia="Century Gothic"/>
          <w:b w:val="0"/>
          <w:i w:val="0"/>
          <w:sz w:val="20"/>
        </w:rPr>
        <w:t>La Carrera de contaduría Pública en la presente gestión cuenta con 82 docentes, sin embargo, de acuerdo a las materias regentadas registra 108 cargas horarias debido a que algunos docentes dictan materias en más de un área.</w:t>
      </w:r>
    </w:p>
    <w:p>
      <w:pPr>
        <w:numPr>
          <w:ilvl w:val="0"/>
          <w:numId w:val="903"/>
        </w:numPr>
        <w:spacing w:before="0" w:after="200" w:line="240" w:lineRule="auto"/>
        <w:jc w:val="both"/>
      </w:pPr>
      <w:r>
        <w:rPr>
          <w:rFonts w:ascii="Century Gothic" w:hAnsi="Century Gothic" w:cs="Century Gothic" w:eastAsia="Century Gothic"/>
          <w:b w:val="0"/>
          <w:i w:val="0"/>
          <w:sz w:val="20"/>
        </w:rPr>
        <w:t xml:space="preserve">Cabe señalar que a nivel de </w:t>
      </w:r>
      <w:r>
        <w:rPr>
          <w:rFonts w:ascii="Century Gothic" w:hAnsi="Century Gothic" w:cs="Century Gothic" w:eastAsia="Century Gothic"/>
          <w:b/>
          <w:i w:val="0"/>
          <w:sz w:val="20"/>
        </w:rPr>
        <w:t>áreas</w:t>
      </w:r>
      <w:r>
        <w:rPr>
          <w:rFonts w:ascii="Century Gothic" w:hAnsi="Century Gothic" w:cs="Century Gothic" w:eastAsia="Century Gothic"/>
          <w:b w:val="0"/>
          <w:i w:val="0"/>
          <w:sz w:val="20"/>
        </w:rPr>
        <w:t xml:space="preserve"> existen: dos (2) docentes a tiempo completo; ocho (8) docentes con carga horaria de 128 horas; ocho (8) docentes con carga horaria de 96 horas; veintisiete (27) docentes con carga horaria de 64 horas y sesenta y tres (63) docentes con carga horaria de 32 horas.</w:t>
      </w:r>
    </w:p>
    <w:p>
      <w:pPr>
        <w:spacing w:before="0" w:after="200" w:line="240" w:lineRule="auto"/>
        <w:ind w:left="357"/>
        <w:jc w:val="both"/>
      </w:pPr>
      <w:r>
        <w:rPr>
          <w:rFonts w:ascii="Century Gothic" w:hAnsi="Century Gothic" w:cs="Century Gothic" w:eastAsia="Century Gothic"/>
          <w:b w:val="0"/>
          <w:i w:val="0"/>
          <w:sz w:val="20"/>
        </w:rPr>
        <w:t>Los extremos mencionados entre la cantidad de docentes a tiempo completo y los que cuentan con carga horaria de 32 horas llaman la atención puesto que la relación debería ser inversa, aspecto que además se ve acentuado por la falta de asignación presupuestaria.</w:t>
      </w:r>
    </w:p>
    <w:p>
      <w:pPr>
        <w:numPr>
          <w:ilvl w:val="0"/>
          <w:numId w:val="903"/>
        </w:numPr>
        <w:spacing w:before="0" w:after="200" w:line="240" w:lineRule="auto"/>
        <w:jc w:val="both"/>
      </w:pPr>
      <w:r>
        <w:rPr>
          <w:rFonts w:ascii="Century Gothic" w:hAnsi="Century Gothic" w:cs="Century Gothic" w:eastAsia="Century Gothic"/>
          <w:b w:val="0"/>
          <w:i w:val="0"/>
          <w:sz w:val="20"/>
        </w:rPr>
        <w:t>Existen setenta y tres (73) docentes para áreas troncales y treinta y cinco (35) docentes para áreas contextuales, lo cual demuestra la relación que existe entre la distribución de las materias por áreas y los docentes con los que cuenta actualmente la Carrera de Contaduría Pública.</w:t>
      </w:r>
    </w:p>
    <w:p>
      <w:pPr>
        <w:spacing w:before="0" w:after="200" w:line="240" w:lineRule="auto"/>
        <w:jc w:val="both"/>
      </w:pPr>
      <w:r>
        <w:rPr>
          <w:rFonts w:ascii="Century Gothic" w:hAnsi="Century Gothic" w:cs="Century Gothic" w:eastAsia="Century Gothic"/>
          <w:b w:val="0"/>
          <w:i w:val="0"/>
          <w:sz w:val="20"/>
        </w:rPr>
        <w:t>Por tanto, la Carrera de Contaduría Pública requiere contar, a la brevedad, con una cantidad mayor de Docentes a Tiempo Completo y de Carga Horaria, para desarrollar una adecuada formación académica en beneficio de los estudiantes, asegurando la coherencia y excelencia en la formación de los futuros profesionales.</w:t>
      </w:r>
    </w:p>
    <w:p>
      <w:pPr>
        <w:spacing w:before="0" w:after="200" w:line="240" w:lineRule="auto"/>
        <w:jc w:val="both"/>
      </w:pPr>
      <w:r>
        <w:rPr>
          <w:rFonts w:ascii="Century Gothic" w:hAnsi="Century Gothic" w:cs="Century Gothic" w:eastAsia="Century Gothic"/>
          <w:b/>
          <w:i w:val="0"/>
          <w:sz w:val="20"/>
        </w:rPr>
        <w:t>Cuadro 7:</w:t>
      </w:r>
    </w:p>
    <w:p>
      <w:pPr>
        <w:keepNext/>
        <w:spacing w:before="40" w:after="200" w:line="240" w:lineRule="auto"/>
        <w:jc w:val="left"/>
      </w:pPr>
      <w:r>
        <w:rPr>
          <w:rFonts w:ascii="Century Gothic" w:hAnsi="Century Gothic" w:cs="Century Gothic" w:eastAsia="Century Gothic"/>
          <w:b/>
          <w:i w:val="0"/>
          <w:sz w:val="22"/>
        </w:rPr>
        <w:t>Cantidad y Categoría de Docentes por Áreas</w:t>
      </w:r>
    </w:p>
    <w:tbl>
      <w:tblPr>
        <w:tblW w:type="auto" w:w="0"/>
        <w:jc w:val="center"/>
        <w:tblLayout w:type="fixed"/>
        <w:tblLook w:firstColumn="1" w:firstRow="1" w:lastColumn="0" w:lastRow="0" w:noHBand="0" w:noVBand="1" w:val="04A0"/>
      </w:tblPr>
      <w:tblGrid>
        <w:gridCol w:w="2268"/>
        <w:gridCol w:w="850"/>
        <w:gridCol w:w="850"/>
        <w:gridCol w:w="850"/>
        <w:gridCol w:w="850"/>
        <w:gridCol w:w="850"/>
        <w:gridCol w:w="850"/>
        <w:gridCol w:w="850"/>
        <w:gridCol w:w="850"/>
      </w:tblGrid>
      <w:tr>
        <w:trPr>
          <w:tblHeader/>
        </w:trPr>
        <w:tc>
          <w:tcPr>
            <w:tcW w:type="dxa" w:w="2268"/>
            <w:vMerge w:val="restart"/>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Docentes</w:t>
            </w:r>
          </w:p>
        </w:tc>
        <w:tc>
          <w:tcPr>
            <w:tcW w:type="dxa" w:w="850"/>
            <w:vMerge w:val="restart"/>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Int. e Inv.</w:t>
            </w:r>
          </w:p>
        </w:tc>
        <w:tc>
          <w:tcPr>
            <w:tcW w:type="dxa" w:w="5100"/>
            <w:gridSpan w:val="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Titulares</w:t>
            </w:r>
          </w:p>
        </w:tc>
        <w:tc>
          <w:tcPr>
            <w:tcW w:type="dxa" w:w="850"/>
            <w:vMerge w:val="restart"/>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Total</w:t>
            </w:r>
          </w:p>
        </w:tc>
      </w:tr>
      <w:tr>
        <w:tc>
          <w:tcPr>
            <w:tcW w:type="dxa" w:w="2268"/>
            <w:vMerge/>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vMerge/>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Cont</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B</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C</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Eme.</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Total</w:t>
            </w:r>
          </w:p>
        </w:tc>
        <w:tc>
          <w:tcPr>
            <w:tcW w:type="dxa" w:w="850"/>
            <w:vMerge/>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Áreas Troncales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Área de Información Financiera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74</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Área de Servicios de Atestación y no Atestación</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45</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Total Áreas Troncales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67</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32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52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119</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Áreas Contextuales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Área de Administración</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15</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Área de Derecho</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11</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Área de Economía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14</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 Área de Matemáticas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24</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Total Áreas Contextuales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31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33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64</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Total Áreas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98</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52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32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85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183</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Fuente: Reporte Personal Docente</w:t>
      </w:r>
    </w:p>
    <w:p>
      <w:pPr>
        <w:spacing w:before="0" w:after="200" w:line="240" w:lineRule="auto"/>
        <w:jc w:val="both"/>
      </w:pPr>
      <w:r>
        <w:rPr>
          <w:rFonts w:ascii="Century Gothic" w:hAnsi="Century Gothic" w:cs="Century Gothic" w:eastAsia="Century Gothic"/>
          <w:b/>
          <w:i w:val="0"/>
          <w:sz w:val="20"/>
        </w:rPr>
        <w:t>Cuadro 8:</w:t>
      </w:r>
    </w:p>
    <w:p>
      <w:pPr>
        <w:keepNext/>
        <w:spacing w:before="40" w:after="200" w:line="240" w:lineRule="auto"/>
        <w:jc w:val="left"/>
      </w:pPr>
      <w:r>
        <w:rPr>
          <w:rFonts w:ascii="Century Gothic" w:hAnsi="Century Gothic" w:cs="Century Gothic" w:eastAsia="Century Gothic"/>
          <w:b/>
          <w:i w:val="0"/>
          <w:sz w:val="22"/>
        </w:rPr>
        <w:t>Cantidad y Categoría de Docentes por Áreas</w:t>
      </w:r>
    </w:p>
    <w:p>
      <w:pPr>
        <w:spacing w:before="0" w:after="200" w:line="240" w:lineRule="auto"/>
        <w:jc w:val="both"/>
      </w:pPr>
      <w:r>
        <w:rPr>
          <w:rFonts w:ascii="Century Gothic" w:hAnsi="Century Gothic" w:cs="Century Gothic" w:eastAsia="Century Gothic"/>
          <w:b w:val="0"/>
          <w:i w:val="0"/>
          <w:sz w:val="20"/>
        </w:rPr>
        <w:t>Expresado en términos porcentuales docentes</w:t>
      </w:r>
    </w:p>
    <w:tbl>
      <w:tblPr>
        <w:tblW w:type="auto" w:w="0"/>
        <w:jc w:val="center"/>
        <w:tblLayout w:type="fixed"/>
        <w:tblLook w:firstColumn="1" w:firstRow="1" w:lastColumn="0" w:lastRow="0" w:noHBand="0" w:noVBand="1" w:val="04A0"/>
      </w:tblPr>
      <w:tblGrid>
        <w:gridCol w:w="2268"/>
        <w:gridCol w:w="850"/>
        <w:gridCol w:w="850"/>
        <w:gridCol w:w="850"/>
        <w:gridCol w:w="850"/>
        <w:gridCol w:w="850"/>
        <w:gridCol w:w="850"/>
        <w:gridCol w:w="850"/>
        <w:gridCol w:w="850"/>
      </w:tblGrid>
      <w:tr>
        <w:trPr>
          <w:tblHeader/>
        </w:trPr>
        <w:tc>
          <w:tcPr>
            <w:tcW w:type="dxa" w:w="2268"/>
            <w:vMerge w:val="restart"/>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Docentes</w:t>
            </w:r>
          </w:p>
        </w:tc>
        <w:tc>
          <w:tcPr>
            <w:tcW w:type="dxa" w:w="850"/>
            <w:vMerge w:val="restart"/>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Int e Inv</w:t>
            </w:r>
          </w:p>
        </w:tc>
        <w:tc>
          <w:tcPr>
            <w:tcW w:type="dxa" w:w="5100"/>
            <w:gridSpan w:val="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Titulares</w:t>
            </w:r>
          </w:p>
        </w:tc>
        <w:tc>
          <w:tcPr>
            <w:tcW w:type="dxa" w:w="850"/>
            <w:vMerge w:val="restart"/>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Total</w:t>
            </w:r>
          </w:p>
        </w:tc>
      </w:tr>
      <w:tr>
        <w:tc>
          <w:tcPr>
            <w:tcW w:type="dxa" w:w="2268"/>
            <w:vMerge/>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vMerge/>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Cont</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B</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C</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Eme</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Total</w:t>
            </w:r>
          </w:p>
        </w:tc>
        <w:tc>
          <w:tcPr>
            <w:tcW w:type="dxa" w:w="850"/>
            <w:vMerge/>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Áreas Troncales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Área de Información Financiera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18,58%</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8,74%</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21,86%</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40,44%</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Área de Servicios de Atestación y no Atestación</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18,03%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4,37%</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6,56%</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24,59%</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Total Áreas Troncales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36,61%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17,49%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10,93%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28,42%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65,03%</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Áreas Contextuales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 Área de Administración</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0,55%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1,64%</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4,37%</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8,20%</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Área de Derecho</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3,28%</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6,01%</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Área de Economía</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3,83%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7,65%</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 Área de Matemáticas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13,11%</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Total Áreas Contextuales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16,94%</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0,55%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10,93%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6,56%</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18,03%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34,97%</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Total Áreas</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53,55%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0,00%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0,55%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28,42%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17,49%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46,45%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100,00%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De acuerdo con la información contenida en los Cuadros Nos 7 y 8, se observa que existen ochenta y cinco (85) Docentes Titulares equivalentes al 46,45% y noventa y ocho (98) Docentes Interinos equivalentes al 53,55%, existiendo cierto equilibrio entre ambos extremos; sin embargo, de acuerdo con la normativa universitaria en vigencia un porcentaje significativo de los docentes deberían ser titulares para asegurar la continuidad y excelencia de los docentes; por lo tanto, la Carrera requiere incorporar, a la brevedad posible, Docentes Titulares, mediante convocatoria pública a “Concurso de Méritos y Exámenes de Competencia”.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2.7.2</w:t>
        <w:tab/>
      </w:r>
      <w:r>
        <w:rPr>
          <w:rFonts w:ascii="Century Gothic" w:hAnsi="Century Gothic" w:cs="Century Gothic" w:eastAsia="Century Gothic"/>
          <w:b/>
          <w:i w:val="0"/>
          <w:sz w:val="22"/>
        </w:rPr>
        <w:t>Estudiantes</w:t>
      </w:r>
    </w:p>
    <w:p>
      <w:pPr>
        <w:keepNext/>
        <w:spacing w:before="40" w:after="200" w:line="240" w:lineRule="auto"/>
        <w:jc w:val="left"/>
      </w:pPr>
      <w:r>
        <w:rPr>
          <w:rFonts w:ascii="Century Gothic" w:hAnsi="Century Gothic" w:cs="Century Gothic" w:eastAsia="Century Gothic"/>
          <w:b/>
          <w:i w:val="0"/>
          <w:sz w:val="22"/>
        </w:rPr>
        <w:t>Cuadro No. 9</w:t>
      </w:r>
    </w:p>
    <w:p>
      <w:pPr>
        <w:keepNext/>
        <w:spacing w:before="40" w:after="200" w:line="240" w:lineRule="auto"/>
        <w:jc w:val="left"/>
      </w:pPr>
      <w:r>
        <w:rPr>
          <w:rFonts w:ascii="Century Gothic" w:hAnsi="Century Gothic" w:cs="Century Gothic" w:eastAsia="Century Gothic"/>
          <w:b/>
          <w:i w:val="0"/>
          <w:sz w:val="22"/>
        </w:rPr>
        <w:t>Cantidad de Estudiantes Matriculados e Inscritos</w:t>
      </w:r>
    </w:p>
    <w:p>
      <w:pPr>
        <w:keepNext/>
        <w:spacing w:before="40" w:after="200" w:line="240" w:lineRule="auto"/>
        <w:jc w:val="left"/>
      </w:pPr>
      <w:r>
        <w:rPr>
          <w:rFonts w:ascii="Century Gothic" w:hAnsi="Century Gothic" w:cs="Century Gothic" w:eastAsia="Century Gothic"/>
          <w:b/>
          <w:i w:val="0"/>
          <w:sz w:val="22"/>
        </w:rPr>
        <w:t>Expresado en cantidad de estudiantes</w:t>
      </w:r>
    </w:p>
    <w:tbl>
      <w:tblPr>
        <w:tblW w:type="auto" w:w="0"/>
        <w:jc w:val="center"/>
        <w:tblLayout w:type="fixed"/>
        <w:tblLook w:firstColumn="1" w:firstRow="1" w:lastColumn="0" w:lastRow="0" w:noHBand="0" w:noVBand="1" w:val="04A0"/>
      </w:tblPr>
      <w:tblGrid>
        <w:gridCol w:w="2551"/>
        <w:gridCol w:w="1304"/>
        <w:gridCol w:w="1304"/>
        <w:gridCol w:w="1304"/>
        <w:gridCol w:w="1304"/>
        <w:gridCol w:w="1304"/>
      </w:tblGrid>
      <w:tr>
        <w:trPr>
          <w:tblHeader/>
        </w:trPr>
        <w:tc>
          <w:tcPr>
            <w:tcW w:type="dxa" w:w="2551"/>
            <w:vMerge w:val="restart"/>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Estudiantes</w:t>
            </w:r>
          </w:p>
        </w:tc>
        <w:tc>
          <w:tcPr>
            <w:tcW w:type="dxa" w:w="6520"/>
            <w:gridSpan w:val="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Años</w:t>
            </w:r>
          </w:p>
        </w:tc>
      </w:tr>
      <w:tr>
        <w:tc>
          <w:tcPr>
            <w:tcW w:type="dxa" w:w="2551"/>
            <w:vMerge/>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2021</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2022</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2023</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2024</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2025</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Estudiantes Matriculados</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4705</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4546</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4447</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4365</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4283</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Estudiantes Inscritos</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3152</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3231</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3214</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3182</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3143</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Diferencia</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1553</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1315</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1233</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1183</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1140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Fuente: Sistema de Registro Universitario – SSA y Sistema de Seguimiento Académico - SSA</w:t>
      </w:r>
    </w:p>
    <w:p>
      <w:pPr>
        <w:spacing w:before="0" w:after="200" w:line="240" w:lineRule="auto"/>
        <w:jc w:val="both"/>
      </w:pPr>
      <w:r>
        <w:rPr>
          <w:rFonts w:ascii="Century Gothic" w:hAnsi="Century Gothic" w:cs="Century Gothic" w:eastAsia="Century Gothic"/>
          <w:b w:val="0"/>
          <w:i w:val="0"/>
          <w:sz w:val="20"/>
        </w:rPr>
        <w:t>De acuerdo con la información contenida en el Cuadro No 9, se puede establecer lo siguiente:</w:t>
      </w:r>
    </w:p>
    <w:p>
      <w:pPr>
        <w:numPr>
          <w:ilvl w:val="0"/>
          <w:numId w:val="904"/>
        </w:numPr>
        <w:spacing w:before="0" w:after="160" w:line="240" w:lineRule="auto"/>
        <w:jc w:val="both"/>
      </w:pPr>
      <w:r>
        <w:rPr>
          <w:rFonts w:ascii="Century Gothic" w:hAnsi="Century Gothic" w:cs="Century Gothic" w:eastAsia="Century Gothic"/>
          <w:b w:val="0"/>
          <w:i w:val="0"/>
          <w:sz w:val="20"/>
        </w:rPr>
        <w:t>Los Estudiantes Matriculados en la Carrera de Contaduría Pública, entre los años 2021 (año base) a 2025 presentan un decremento del 8.97%</w:t>
      </w:r>
    </w:p>
    <w:p>
      <w:pPr>
        <w:numPr>
          <w:ilvl w:val="0"/>
          <w:numId w:val="904"/>
        </w:numPr>
        <w:spacing w:before="0" w:after="160" w:line="240" w:lineRule="auto"/>
        <w:jc w:val="both"/>
      </w:pPr>
      <w:r>
        <w:rPr>
          <w:rFonts w:ascii="Century Gothic" w:hAnsi="Century Gothic" w:cs="Century Gothic" w:eastAsia="Century Gothic"/>
          <w:b w:val="0"/>
          <w:i w:val="0"/>
          <w:sz w:val="20"/>
        </w:rPr>
        <w:t>Los Estudiantes Inscritos en la Carrera, entre los años 2021 (año base) y 2025 se incrementaron en 378 equivalentes al 13,32 %.</w:t>
      </w:r>
    </w:p>
    <w:p>
      <w:pPr>
        <w:numPr>
          <w:ilvl w:val="0"/>
          <w:numId w:val="904"/>
        </w:numPr>
        <w:spacing w:before="0" w:after="200" w:line="240" w:lineRule="auto"/>
        <w:jc w:val="both"/>
      </w:pPr>
      <w:r>
        <w:rPr>
          <w:rFonts w:ascii="Century Gothic" w:hAnsi="Century Gothic" w:cs="Century Gothic" w:eastAsia="Century Gothic"/>
          <w:b w:val="0"/>
          <w:i w:val="0"/>
          <w:sz w:val="20"/>
        </w:rPr>
        <w:t>Las diferencias expuestas en el Cuadro No 9 corresponden a estudiantes que adquirieron su matrícula universitaria y no cursaron ninguna asignatura porque no se inscribieron durante el año, la misma que es significativa en los diferentes años; sin embargo, esta ha disminuido considerablemente con relación al año base, llegando a 1.140 estudiantes que representan el 26,61% del total de estudiantes matriculados.</w:t>
      </w:r>
    </w:p>
    <w:p>
      <w:pPr>
        <w:keepNext/>
        <w:spacing w:before="40" w:after="200" w:line="240" w:lineRule="auto"/>
        <w:jc w:val="left"/>
      </w:pPr>
      <w:r>
        <w:rPr>
          <w:rFonts w:ascii="Century Gothic" w:hAnsi="Century Gothic" w:cs="Century Gothic" w:eastAsia="Century Gothic"/>
          <w:b/>
          <w:i w:val="0"/>
          <w:sz w:val="22"/>
        </w:rPr>
        <w:t>Cuadro No. 10</w:t>
      </w:r>
    </w:p>
    <w:p>
      <w:pPr>
        <w:keepNext/>
        <w:spacing w:before="40" w:after="200" w:line="240" w:lineRule="auto"/>
        <w:jc w:val="left"/>
      </w:pPr>
      <w:r>
        <w:rPr>
          <w:rFonts w:ascii="Century Gothic" w:hAnsi="Century Gothic" w:cs="Century Gothic" w:eastAsia="Century Gothic"/>
          <w:b/>
          <w:i w:val="0"/>
          <w:sz w:val="22"/>
        </w:rPr>
        <w:t>Cantidad de Estudiantes Titulados</w:t>
      </w:r>
    </w:p>
    <w:p>
      <w:pPr>
        <w:keepNext/>
        <w:spacing w:before="40" w:after="200" w:line="240" w:lineRule="auto"/>
        <w:jc w:val="left"/>
      </w:pPr>
      <w:r>
        <w:rPr>
          <w:rFonts w:ascii="Century Gothic" w:hAnsi="Century Gothic" w:cs="Century Gothic" w:eastAsia="Century Gothic"/>
          <w:b/>
          <w:i w:val="0"/>
          <w:sz w:val="22"/>
        </w:rPr>
        <w:t>Expresados en cantidad de estudiantes</w:t>
      </w:r>
    </w:p>
    <w:tbl>
      <w:tblPr>
        <w:tblW w:type="auto" w:w="0"/>
        <w:jc w:val="center"/>
        <w:tblLayout w:type="fixed"/>
        <w:tblLook w:firstColumn="1" w:firstRow="1" w:lastColumn="0" w:lastRow="0" w:noHBand="0" w:noVBand="1" w:val="04A0"/>
      </w:tblPr>
      <w:tblGrid>
        <w:gridCol w:w="2551"/>
        <w:gridCol w:w="1304"/>
        <w:gridCol w:w="1304"/>
        <w:gridCol w:w="1304"/>
        <w:gridCol w:w="1304"/>
        <w:gridCol w:w="1304"/>
      </w:tblGrid>
      <w:tr>
        <w:trPr>
          <w:tblHeader/>
        </w:trPr>
        <w:tc>
          <w:tcPr>
            <w:tcW w:type="dxa" w:w="2551"/>
            <w:vMerge w:val="restart"/>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Estudiantes Titulados</w:t>
            </w:r>
          </w:p>
        </w:tc>
        <w:tc>
          <w:tcPr>
            <w:tcW w:type="dxa" w:w="6520"/>
            <w:gridSpan w:val="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Años</w:t>
            </w:r>
          </w:p>
        </w:tc>
      </w:tr>
      <w:tr>
        <w:tc>
          <w:tcPr>
            <w:tcW w:type="dxa" w:w="2551"/>
            <w:vMerge/>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2021</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2022</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2023</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2024</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2025</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Tesis de Grado</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Proyecto de Grado</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11</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Trabajo Dirigido</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59</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39</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63</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62</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53</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Examen de Grado</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345</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392</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180</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215</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188</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Excelencia académica</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27</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51</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23</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27</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Memoria Laboral</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Modulo Actualización</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22</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23</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38</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 Estudiantes Titulados</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441</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523</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302</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353</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274</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Fuente: División de Sistemas de Información Estadística (DSIE) – UMSA</w:t>
      </w:r>
    </w:p>
    <w:p>
      <w:pPr>
        <w:spacing w:before="0" w:after="200" w:line="240" w:lineRule="auto"/>
        <w:jc w:val="both"/>
      </w:pPr>
      <w:r>
        <w:rPr>
          <w:rFonts w:ascii="Century Gothic" w:hAnsi="Century Gothic" w:cs="Century Gothic" w:eastAsia="Century Gothic"/>
          <w:b w:val="0"/>
          <w:i w:val="0"/>
          <w:sz w:val="20"/>
        </w:rPr>
        <w:t>De acuerdo con la información contenida en el Cuadro No 10, se puede establecer que, el número de Estudiantes Titulados se inclina por acceder a la modalidad de titulación de: Examen de Grado, dejando de lado las otras modalidades, debido fundamentalmente a la inexistencia de convenios interinstitucionales que permitan desarrollar adecuadamente y de manera efectiva dichas modalidades, dentro el marco de las normas vigentes de la Universidad Mayor de San Andrés.</w:t>
      </w:r>
    </w:p>
    <w:p>
      <w:pPr>
        <w:spacing w:before="0" w:after="200" w:line="240" w:lineRule="auto"/>
        <w:jc w:val="both"/>
      </w:pPr>
      <w:r>
        <w:rPr>
          <w:rFonts w:ascii="Century Gothic" w:hAnsi="Century Gothic" w:cs="Century Gothic" w:eastAsia="Century Gothic"/>
          <w:b/>
          <w:i w:val="0"/>
          <w:sz w:val="20"/>
        </w:rPr>
        <w:t>Cuadro 11:</w:t>
      </w:r>
    </w:p>
    <w:p>
      <w:pPr>
        <w:keepNext/>
        <w:spacing w:before="40" w:after="200" w:line="240" w:lineRule="auto"/>
        <w:jc w:val="left"/>
      </w:pPr>
      <w:r>
        <w:rPr>
          <w:rFonts w:ascii="Century Gothic" w:hAnsi="Century Gothic" w:cs="Century Gothic" w:eastAsia="Century Gothic"/>
          <w:b/>
          <w:i w:val="0"/>
          <w:sz w:val="22"/>
        </w:rPr>
        <w:t>Cantidad de Estudiantes Inscritos por Asignaturas y Paralelos</w:t>
      </w:r>
    </w:p>
    <w:p>
      <w:pPr>
        <w:spacing w:before="0" w:after="200" w:line="240" w:lineRule="auto"/>
        <w:jc w:val="both"/>
      </w:pPr>
      <w:r>
        <w:rPr>
          <w:rFonts w:ascii="Century Gothic" w:hAnsi="Century Gothic" w:cs="Century Gothic" w:eastAsia="Century Gothic"/>
          <w:b w:val="0"/>
          <w:i w:val="0"/>
          <w:sz w:val="20"/>
        </w:rPr>
        <w:t>Expresado en cantidad de estudiantes</w:t>
      </w:r>
    </w:p>
    <w:tbl>
      <w:tblPr>
        <w:tblW w:type="auto" w:w="0"/>
        <w:jc w:val="center"/>
        <w:tblLayout w:type="fixed"/>
        <w:tblLook w:firstColumn="1" w:firstRow="1" w:lastColumn="0" w:lastRow="0" w:noHBand="0" w:noVBand="1" w:val="04A0"/>
      </w:tblPr>
      <w:tblGrid>
        <w:gridCol w:w="1361"/>
        <w:gridCol w:w="964"/>
        <w:gridCol w:w="964"/>
        <w:gridCol w:w="964"/>
        <w:gridCol w:w="964"/>
        <w:gridCol w:w="964"/>
        <w:gridCol w:w="964"/>
        <w:gridCol w:w="964"/>
        <w:gridCol w:w="964"/>
      </w:tblGrid>
      <w:tr>
        <w:trPr>
          <w:tblHeader/>
        </w:trPr>
        <w:tc>
          <w:tcPr>
            <w:tcW w:type="dxa" w:w="1361"/>
            <w:vMerge w:val="restart"/>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c>
          <w:tcPr>
            <w:tcW w:type="dxa" w:w="7712"/>
            <w:gridSpan w:val="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Años</w:t>
            </w:r>
          </w:p>
        </w:tc>
      </w:tr>
      <w:tr>
        <w:tc>
          <w:tcPr>
            <w:tcW w:type="dxa" w:w="1361"/>
            <w:vMerge/>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928"/>
            <w:gridSpan w:val="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2023</w:t>
            </w:r>
          </w:p>
        </w:tc>
        <w:tc>
          <w:tcPr>
            <w:tcW w:type="dxa" w:w="1928"/>
            <w:gridSpan w:val="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2024</w:t>
            </w:r>
          </w:p>
        </w:tc>
        <w:tc>
          <w:tcPr>
            <w:tcW w:type="dxa" w:w="1928"/>
            <w:gridSpan w:val="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2025</w:t>
            </w:r>
          </w:p>
        </w:tc>
        <w:tc>
          <w:tcPr>
            <w:tcW w:type="dxa" w:w="1928"/>
            <w:gridSpan w:val="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2026</w:t>
            </w:r>
          </w:p>
        </w:tc>
      </w:tr>
      <w:tr>
        <w:tc>
          <w:tcPr>
            <w:tcW w:type="dxa" w:w="1361"/>
            <w:vMerge/>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CEIPAP</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PEIPAP</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CEIPAP</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PEIPAP</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CEIPAP</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PEIPAP</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CEIPAP</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PEIPAP</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Estudiantes</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22.636</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23.811</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23.983</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24.117</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Paralelos</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208</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109</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229</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222</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227</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106</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CEIPAP: Cantidad de Estudiantes Inscritos por Asignatura y Paralelo</w:t>
      </w:r>
    </w:p>
    <w:p>
      <w:pPr>
        <w:spacing w:before="0" w:after="200" w:line="240" w:lineRule="auto"/>
        <w:jc w:val="both"/>
      </w:pPr>
      <w:r>
        <w:rPr>
          <w:rFonts w:ascii="Century Gothic" w:hAnsi="Century Gothic" w:cs="Century Gothic" w:eastAsia="Century Gothic"/>
          <w:b w:val="0"/>
          <w:i w:val="0"/>
          <w:sz w:val="20"/>
        </w:rPr>
        <w:t>PEIPAP: Promedio de Estudiantes Inscritos por Asignatura y Paralelo</w:t>
      </w:r>
    </w:p>
    <w:p>
      <w:pPr>
        <w:spacing w:before="0" w:after="200" w:line="240" w:lineRule="auto"/>
        <w:jc w:val="both"/>
      </w:pPr>
      <w:r>
        <w:rPr>
          <w:rFonts w:ascii="Century Gothic" w:hAnsi="Century Gothic" w:cs="Century Gothic" w:eastAsia="Century Gothic"/>
          <w:b w:val="0"/>
          <w:i w:val="0"/>
          <w:sz w:val="20"/>
        </w:rPr>
        <w:t>Fuente: Centro de Cómputo Carrera de Contaduría Pública</w:t>
      </w:r>
    </w:p>
    <w:p>
      <w:pPr>
        <w:spacing w:before="0" w:after="200" w:line="240" w:lineRule="auto"/>
        <w:jc w:val="both"/>
      </w:pPr>
      <w:r>
        <w:rPr>
          <w:rFonts w:ascii="Century Gothic" w:hAnsi="Century Gothic" w:cs="Century Gothic" w:eastAsia="Century Gothic"/>
          <w:b w:val="0"/>
          <w:i w:val="0"/>
          <w:sz w:val="20"/>
        </w:rPr>
        <w:t xml:space="preserve">De acuerdo con la información contenida en el Cuadro No 11, se establece un Promedio de Estudiantes Inscritos por Asignatura y Paralelo </w:t>
      </w:r>
      <w:r>
        <w:rPr>
          <w:rFonts w:ascii="Century Gothic" w:hAnsi="Century Gothic" w:cs="Century Gothic" w:eastAsia="Century Gothic"/>
          <w:b/>
          <w:i w:val="0"/>
          <w:sz w:val="20"/>
        </w:rPr>
        <w:t>relativamente estable, pero con pequeñas fluctuaciones</w:t>
      </w:r>
      <w:r>
        <w:rPr>
          <w:rFonts w:ascii="Century Gothic" w:hAnsi="Century Gothic" w:cs="Century Gothic" w:eastAsia="Century Gothic"/>
          <w:b w:val="0"/>
          <w:i w:val="0"/>
          <w:sz w:val="20"/>
        </w:rPr>
        <w:t xml:space="preserve"> (109, 104, 108 y 106) por Docente cada año que conforman un curso o paralelo, respecto de lo requerido académicamente además que el número se ha incrementado significativamente los últimos años; por lo tanto, la Carrera de Contaduría Pública requiere contar con una mayor cantidad de Docentes y consecuentemente la asignación de una mayor carga horaria para lograr su cometido satisfactoriamente</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1"/>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