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Infraestructura y Equipamiento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14.</w:t>
        <w:tab/>
      </w:r>
      <w:r>
        <w:rPr>
          <w:rFonts w:ascii="Century Gothic" w:hAnsi="Century Gothic" w:cs="Century Gothic" w:eastAsia="Century Gothic"/>
          <w:b/>
          <w:i w:val="0"/>
          <w:sz w:val="24"/>
        </w:rPr>
        <w:t>Infraestructura y equipamiento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14.1</w:t>
        <w:tab/>
      </w:r>
      <w:r>
        <w:rPr>
          <w:rFonts w:ascii="Century Gothic" w:hAnsi="Century Gothic" w:cs="Century Gothic" w:eastAsia="Century Gothic"/>
          <w:b/>
          <w:i w:val="0"/>
          <w:sz w:val="24"/>
        </w:rPr>
        <w:t>Aulas (físicas o virtuales)</w:t>
      </w:r>
    </w:p>
    <w:p>
      <w:pPr>
        <w:spacing w:before="0" w:after="200" w:line="240" w:lineRule="auto"/>
        <w:jc w:val="both"/>
      </w:pPr>
      <w:r>
        <w:rPr>
          <w:rFonts w:ascii="Century Gothic" w:hAnsi="Century Gothic" w:cs="Century Gothic" w:eastAsia="Century Gothic"/>
          <w:b w:val="0"/>
          <w:i w:val="0"/>
          <w:sz w:val="20"/>
        </w:rPr>
        <w:t>A la fecha, la Carrera cuenta con ambientes para las actividades académicas y administración, de acuerdo a lo siguiente:</w:t>
      </w:r>
    </w:p>
    <w:p>
      <w:pPr>
        <w:spacing w:before="0" w:after="200" w:line="240" w:lineRule="auto"/>
        <w:jc w:val="both"/>
      </w:pPr>
      <w:r>
        <w:rPr>
          <w:rFonts w:ascii="Century Gothic" w:hAnsi="Century Gothic" w:cs="Century Gothic" w:eastAsia="Century Gothic"/>
          <w:b/>
          <w:i w:val="0"/>
          <w:sz w:val="20"/>
        </w:rPr>
        <w:t>a. Aulas.</w:t>
      </w:r>
      <w:r>
        <w:rPr>
          <w:rFonts w:ascii="Century Gothic" w:hAnsi="Century Gothic" w:cs="Century Gothic" w:eastAsia="Century Gothic"/>
          <w:b w:val="0"/>
          <w:i w:val="0"/>
          <w:sz w:val="20"/>
        </w:rPr>
        <w:t xml:space="preserve"> Ocho (8) ubicadas en predios del Edificio Nava Morales (Avenida Montes esquina Pando), con capacidad promedio para 115 Estudiantes, todas incluyen:</w:t>
      </w:r>
    </w:p>
    <w:p>
      <w:pPr>
        <w:numPr>
          <w:ilvl w:val="0"/>
          <w:numId w:val="901"/>
        </w:numPr>
        <w:spacing w:before="0" w:after="160" w:line="240" w:lineRule="auto"/>
        <w:jc w:val="both"/>
      </w:pPr>
      <w:r>
        <w:rPr>
          <w:rFonts w:ascii="Century Gothic" w:hAnsi="Century Gothic" w:cs="Century Gothic" w:eastAsia="Century Gothic"/>
          <w:b w:val="0"/>
          <w:i w:val="0"/>
          <w:sz w:val="20"/>
        </w:rPr>
        <w:t>Proyectores de multimedia;</w:t>
      </w:r>
    </w:p>
    <w:p>
      <w:pPr>
        <w:numPr>
          <w:ilvl w:val="0"/>
          <w:numId w:val="901"/>
        </w:numPr>
        <w:spacing w:before="0" w:after="160" w:line="240" w:lineRule="auto"/>
        <w:jc w:val="both"/>
      </w:pPr>
      <w:r>
        <w:rPr>
          <w:rFonts w:ascii="Century Gothic" w:hAnsi="Century Gothic" w:cs="Century Gothic" w:eastAsia="Century Gothic"/>
          <w:b w:val="0"/>
          <w:i w:val="0"/>
          <w:sz w:val="20"/>
        </w:rPr>
        <w:t>Ecran;</w:t>
      </w:r>
    </w:p>
    <w:p>
      <w:pPr>
        <w:numPr>
          <w:ilvl w:val="0"/>
          <w:numId w:val="901"/>
        </w:numPr>
        <w:spacing w:before="0" w:after="160" w:line="240" w:lineRule="auto"/>
        <w:jc w:val="both"/>
      </w:pPr>
      <w:r>
        <w:rPr>
          <w:rFonts w:ascii="Century Gothic" w:hAnsi="Century Gothic" w:cs="Century Gothic" w:eastAsia="Century Gothic"/>
          <w:b w:val="0"/>
          <w:i w:val="0"/>
          <w:sz w:val="20"/>
        </w:rPr>
        <w:t>Ventiladores;</w:t>
      </w:r>
    </w:p>
    <w:p>
      <w:pPr>
        <w:numPr>
          <w:ilvl w:val="0"/>
          <w:numId w:val="901"/>
        </w:numPr>
        <w:spacing w:before="0" w:after="160" w:line="240" w:lineRule="auto"/>
        <w:jc w:val="both"/>
      </w:pPr>
      <w:r>
        <w:rPr>
          <w:rFonts w:ascii="Century Gothic" w:hAnsi="Century Gothic" w:cs="Century Gothic" w:eastAsia="Century Gothic"/>
          <w:b w:val="0"/>
          <w:i w:val="0"/>
          <w:sz w:val="20"/>
        </w:rPr>
        <w:t>Extractores de aire;</w:t>
      </w:r>
    </w:p>
    <w:p>
      <w:pPr>
        <w:numPr>
          <w:ilvl w:val="0"/>
          <w:numId w:val="901"/>
        </w:numPr>
        <w:spacing w:before="0" w:after="160" w:line="240" w:lineRule="auto"/>
        <w:jc w:val="both"/>
      </w:pPr>
      <w:r>
        <w:rPr>
          <w:rFonts w:ascii="Century Gothic" w:hAnsi="Century Gothic" w:cs="Century Gothic" w:eastAsia="Century Gothic"/>
          <w:b w:val="0"/>
          <w:i w:val="0"/>
          <w:sz w:val="20"/>
        </w:rPr>
        <w:t>Cámaras seguridad;</w:t>
      </w:r>
    </w:p>
    <w:p>
      <w:pPr>
        <w:numPr>
          <w:ilvl w:val="0"/>
          <w:numId w:val="901"/>
        </w:numPr>
        <w:spacing w:before="0" w:after="160" w:line="240" w:lineRule="auto"/>
        <w:jc w:val="both"/>
      </w:pPr>
      <w:r>
        <w:rPr>
          <w:rFonts w:ascii="Century Gothic" w:hAnsi="Century Gothic" w:cs="Century Gothic" w:eastAsia="Century Gothic"/>
          <w:b w:val="0"/>
          <w:i w:val="0"/>
          <w:sz w:val="20"/>
        </w:rPr>
        <w:t>Pizarras acrílicas;</w:t>
      </w:r>
    </w:p>
    <w:p>
      <w:pPr>
        <w:numPr>
          <w:ilvl w:val="0"/>
          <w:numId w:val="901"/>
        </w:numPr>
        <w:spacing w:before="0" w:after="160" w:line="240" w:lineRule="auto"/>
        <w:jc w:val="both"/>
      </w:pPr>
      <w:r>
        <w:rPr>
          <w:rFonts w:ascii="Century Gothic" w:hAnsi="Century Gothic" w:cs="Century Gothic" w:eastAsia="Century Gothic"/>
          <w:b w:val="0"/>
          <w:i w:val="0"/>
          <w:sz w:val="20"/>
        </w:rPr>
        <w:t>Atriles;</w:t>
      </w:r>
    </w:p>
    <w:p>
      <w:pPr>
        <w:numPr>
          <w:ilvl w:val="0"/>
          <w:numId w:val="901"/>
        </w:numPr>
        <w:spacing w:before="0" w:after="160" w:line="240" w:lineRule="auto"/>
        <w:jc w:val="both"/>
      </w:pPr>
      <w:r>
        <w:rPr>
          <w:rFonts w:ascii="Century Gothic" w:hAnsi="Century Gothic" w:cs="Century Gothic" w:eastAsia="Century Gothic"/>
          <w:b w:val="0"/>
          <w:i w:val="0"/>
          <w:sz w:val="20"/>
        </w:rPr>
        <w:t>Tarimas; y</w:t>
      </w:r>
    </w:p>
    <w:p>
      <w:pPr>
        <w:numPr>
          <w:ilvl w:val="0"/>
          <w:numId w:val="901"/>
        </w:numPr>
        <w:spacing w:before="0" w:after="200" w:line="240" w:lineRule="auto"/>
        <w:jc w:val="both"/>
      </w:pPr>
      <w:r>
        <w:rPr>
          <w:rFonts w:ascii="Century Gothic" w:hAnsi="Century Gothic" w:cs="Century Gothic" w:eastAsia="Century Gothic"/>
          <w:b w:val="0"/>
          <w:i w:val="0"/>
          <w:sz w:val="20"/>
        </w:rPr>
        <w:t>Pupitres bipersonales.</w:t>
      </w:r>
    </w:p>
    <w:p>
      <w:pPr>
        <w:spacing w:before="0" w:after="200" w:line="240" w:lineRule="auto"/>
        <w:jc w:val="both"/>
      </w:pPr>
      <w:r>
        <w:rPr>
          <w:rFonts w:ascii="Century Gothic" w:hAnsi="Century Gothic" w:cs="Century Gothic" w:eastAsia="Century Gothic"/>
          <w:b/>
          <w:i w:val="0"/>
          <w:sz w:val="20"/>
        </w:rPr>
        <w:t>b.</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Aulas.</w:t>
      </w:r>
      <w:r>
        <w:rPr>
          <w:rFonts w:ascii="Century Gothic" w:hAnsi="Century Gothic" w:cs="Century Gothic" w:eastAsia="Century Gothic"/>
          <w:b w:val="0"/>
          <w:i w:val="0"/>
          <w:sz w:val="20"/>
        </w:rPr>
        <w:t xml:space="preserve"> Cuatro (4) ubicadas en predios del Edificio Monoblock Central (Avenida Villazón), (Pabellones: A, B, C y D) con capacidad promedio para 250 Estudiantes. En la actualidad, se tiene el uso exclusivo y de administración propia de dichos ambientes por parte de la Carrera, debiendo las otras Carreras o dependencias de la Universidad, gestionar su acceso, para actividades específicas. Estos ambientes cuentan con:</w:t>
      </w:r>
    </w:p>
    <w:p>
      <w:pPr>
        <w:numPr>
          <w:ilvl w:val="0"/>
          <w:numId w:val="902"/>
        </w:numPr>
        <w:spacing w:before="0" w:after="160" w:line="240" w:lineRule="auto"/>
        <w:jc w:val="both"/>
      </w:pPr>
      <w:r>
        <w:rPr>
          <w:rFonts w:ascii="Century Gothic" w:hAnsi="Century Gothic" w:cs="Century Gothic" w:eastAsia="Century Gothic"/>
          <w:b w:val="0"/>
          <w:i w:val="0"/>
          <w:sz w:val="20"/>
        </w:rPr>
        <w:t>Proyectores de multimedia;</w:t>
      </w:r>
    </w:p>
    <w:p>
      <w:pPr>
        <w:numPr>
          <w:ilvl w:val="0"/>
          <w:numId w:val="902"/>
        </w:numPr>
        <w:spacing w:before="0" w:after="160" w:line="240" w:lineRule="auto"/>
        <w:jc w:val="both"/>
      </w:pPr>
      <w:r>
        <w:rPr>
          <w:rFonts w:ascii="Century Gothic" w:hAnsi="Century Gothic" w:cs="Century Gothic" w:eastAsia="Century Gothic"/>
          <w:b w:val="0"/>
          <w:i w:val="0"/>
          <w:sz w:val="20"/>
        </w:rPr>
        <w:t>Ecran;</w:t>
      </w:r>
    </w:p>
    <w:p>
      <w:pPr>
        <w:numPr>
          <w:ilvl w:val="0"/>
          <w:numId w:val="902"/>
        </w:numPr>
        <w:spacing w:before="0" w:after="160" w:line="240" w:lineRule="auto"/>
        <w:jc w:val="both"/>
      </w:pPr>
      <w:r>
        <w:rPr>
          <w:rFonts w:ascii="Century Gothic" w:hAnsi="Century Gothic" w:cs="Century Gothic" w:eastAsia="Century Gothic"/>
          <w:b w:val="0"/>
          <w:i w:val="0"/>
          <w:sz w:val="20"/>
        </w:rPr>
        <w:t>Cámaras seguridad;</w:t>
      </w:r>
    </w:p>
    <w:p>
      <w:pPr>
        <w:numPr>
          <w:ilvl w:val="0"/>
          <w:numId w:val="902"/>
        </w:numPr>
        <w:spacing w:before="0" w:after="160" w:line="240" w:lineRule="auto"/>
        <w:jc w:val="both"/>
      </w:pPr>
      <w:r>
        <w:rPr>
          <w:rFonts w:ascii="Century Gothic" w:hAnsi="Century Gothic" w:cs="Century Gothic" w:eastAsia="Century Gothic"/>
          <w:b w:val="0"/>
          <w:i w:val="0"/>
          <w:sz w:val="20"/>
        </w:rPr>
        <w:t>Pizarras acrílicas;</w:t>
      </w:r>
    </w:p>
    <w:p>
      <w:pPr>
        <w:numPr>
          <w:ilvl w:val="0"/>
          <w:numId w:val="902"/>
        </w:numPr>
        <w:spacing w:before="0" w:after="160" w:line="240" w:lineRule="auto"/>
        <w:jc w:val="both"/>
      </w:pPr>
      <w:r>
        <w:rPr>
          <w:rFonts w:ascii="Century Gothic" w:hAnsi="Century Gothic" w:cs="Century Gothic" w:eastAsia="Century Gothic"/>
          <w:b w:val="0"/>
          <w:i w:val="0"/>
          <w:sz w:val="20"/>
        </w:rPr>
        <w:t>Atriles;</w:t>
      </w:r>
    </w:p>
    <w:p>
      <w:pPr>
        <w:numPr>
          <w:ilvl w:val="0"/>
          <w:numId w:val="902"/>
        </w:numPr>
        <w:spacing w:before="0" w:after="160" w:line="240" w:lineRule="auto"/>
        <w:jc w:val="both"/>
      </w:pPr>
      <w:r>
        <w:rPr>
          <w:rFonts w:ascii="Century Gothic" w:hAnsi="Century Gothic" w:cs="Century Gothic" w:eastAsia="Century Gothic"/>
          <w:b w:val="0"/>
          <w:i w:val="0"/>
          <w:sz w:val="20"/>
        </w:rPr>
        <w:t>Tarimas; y</w:t>
      </w:r>
    </w:p>
    <w:p>
      <w:pPr>
        <w:numPr>
          <w:ilvl w:val="0"/>
          <w:numId w:val="902"/>
        </w:numPr>
        <w:spacing w:before="0" w:after="200" w:line="240" w:lineRule="auto"/>
        <w:jc w:val="both"/>
      </w:pPr>
      <w:r>
        <w:rPr>
          <w:rFonts w:ascii="Century Gothic" w:hAnsi="Century Gothic" w:cs="Century Gothic" w:eastAsia="Century Gothic"/>
          <w:b w:val="0"/>
          <w:i w:val="0"/>
          <w:sz w:val="20"/>
        </w:rPr>
        <w:t>Equipos de sonido.</w:t>
      </w:r>
    </w:p>
    <w:p>
      <w:pPr>
        <w:keepNext/>
        <w:spacing w:before="40" w:after="200" w:line="240" w:lineRule="auto"/>
        <w:jc w:val="left"/>
      </w:pPr>
      <w:r>
        <w:rPr>
          <w:rFonts w:ascii="Century Gothic" w:hAnsi="Century Gothic" w:cs="Century Gothic" w:eastAsia="Century Gothic"/>
          <w:b/>
          <w:i w:val="0"/>
          <w:sz w:val="22"/>
        </w:rPr>
        <w:t>Aula 1</w:t>
      </w:r>
    </w:p>
    <w:p>
      <w:pPr>
        <w:spacing w:before="40" w:after="80" w:line="240" w:lineRule="auto"/>
        <w:jc w:val="center"/>
      </w:pPr>
      <w:r>
        <w:drawing>
          <wp:inline xmlns:a="http://schemas.openxmlformats.org/drawingml/2006/main" xmlns:pic="http://schemas.openxmlformats.org/drawingml/2006/picture">
            <wp:extent cx="2880000" cy="2097266"/>
            <wp:docPr id="1" name="Picture 1"/>
            <wp:cNvGraphicFramePr>
              <a:graphicFrameLocks noChangeAspect="1"/>
            </wp:cNvGraphicFramePr>
            <a:graphic>
              <a:graphicData uri="http://schemas.openxmlformats.org/drawingml/2006/picture">
                <pic:pic>
                  <pic:nvPicPr>
                    <pic:cNvPr id="0" name="img005.png"/>
                    <pic:cNvPicPr/>
                  </pic:nvPicPr>
                  <pic:blipFill>
                    <a:blip r:embed="rId11"/>
                    <a:stretch>
                      <a:fillRect/>
                    </a:stretch>
                  </pic:blipFill>
                  <pic:spPr>
                    <a:xfrm>
                      <a:off x="0" y="0"/>
                      <a:ext cx="2880000" cy="2097266"/>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135370"/>
            <wp:docPr id="2" name="Picture 2"/>
            <wp:cNvGraphicFramePr>
              <a:graphicFrameLocks noChangeAspect="1"/>
            </wp:cNvGraphicFramePr>
            <a:graphic>
              <a:graphicData uri="http://schemas.openxmlformats.org/drawingml/2006/picture">
                <pic:pic>
                  <pic:nvPicPr>
                    <pic:cNvPr id="0" name="img006.png"/>
                    <pic:cNvPicPr/>
                  </pic:nvPicPr>
                  <pic:blipFill>
                    <a:blip r:embed="rId12"/>
                    <a:stretch>
                      <a:fillRect/>
                    </a:stretch>
                  </pic:blipFill>
                  <pic:spPr>
                    <a:xfrm>
                      <a:off x="0" y="0"/>
                      <a:ext cx="2880000" cy="2135370"/>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2</w:t>
      </w:r>
    </w:p>
    <w:p>
      <w:pPr>
        <w:spacing w:before="40" w:after="80" w:line="240" w:lineRule="auto"/>
        <w:jc w:val="center"/>
      </w:pPr>
      <w:r>
        <w:drawing>
          <wp:inline xmlns:a="http://schemas.openxmlformats.org/drawingml/2006/main" xmlns:pic="http://schemas.openxmlformats.org/drawingml/2006/picture">
            <wp:extent cx="2880000" cy="2215750"/>
            <wp:docPr id="3" name="Picture 3"/>
            <wp:cNvGraphicFramePr>
              <a:graphicFrameLocks noChangeAspect="1"/>
            </wp:cNvGraphicFramePr>
            <a:graphic>
              <a:graphicData uri="http://schemas.openxmlformats.org/drawingml/2006/picture">
                <pic:pic>
                  <pic:nvPicPr>
                    <pic:cNvPr id="0" name="img007.png"/>
                    <pic:cNvPicPr/>
                  </pic:nvPicPr>
                  <pic:blipFill>
                    <a:blip r:embed="rId13"/>
                    <a:stretch>
                      <a:fillRect/>
                    </a:stretch>
                  </pic:blipFill>
                  <pic:spPr>
                    <a:xfrm>
                      <a:off x="0" y="0"/>
                      <a:ext cx="2880000" cy="2215750"/>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199740"/>
            <wp:docPr id="4" name="Picture 4"/>
            <wp:cNvGraphicFramePr>
              <a:graphicFrameLocks noChangeAspect="1"/>
            </wp:cNvGraphicFramePr>
            <a:graphic>
              <a:graphicData uri="http://schemas.openxmlformats.org/drawingml/2006/picture">
                <pic:pic>
                  <pic:nvPicPr>
                    <pic:cNvPr id="0" name="img008.png"/>
                    <pic:cNvPicPr/>
                  </pic:nvPicPr>
                  <pic:blipFill>
                    <a:blip r:embed="rId14"/>
                    <a:stretch>
                      <a:fillRect/>
                    </a:stretch>
                  </pic:blipFill>
                  <pic:spPr>
                    <a:xfrm>
                      <a:off x="0" y="0"/>
                      <a:ext cx="2880000" cy="2199740"/>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3</w:t>
      </w:r>
    </w:p>
    <w:p>
      <w:pPr>
        <w:spacing w:before="40" w:after="80" w:line="240" w:lineRule="auto"/>
        <w:jc w:val="center"/>
      </w:pPr>
      <w:r>
        <w:drawing>
          <wp:inline xmlns:a="http://schemas.openxmlformats.org/drawingml/2006/main" xmlns:pic="http://schemas.openxmlformats.org/drawingml/2006/picture">
            <wp:extent cx="2880000" cy="2200162"/>
            <wp:docPr id="5" name="Picture 5"/>
            <wp:cNvGraphicFramePr>
              <a:graphicFrameLocks noChangeAspect="1"/>
            </wp:cNvGraphicFramePr>
            <a:graphic>
              <a:graphicData uri="http://schemas.openxmlformats.org/drawingml/2006/picture">
                <pic:pic>
                  <pic:nvPicPr>
                    <pic:cNvPr id="0" name="img009.png"/>
                    <pic:cNvPicPr/>
                  </pic:nvPicPr>
                  <pic:blipFill>
                    <a:blip r:embed="rId15"/>
                    <a:stretch>
                      <a:fillRect/>
                    </a:stretch>
                  </pic:blipFill>
                  <pic:spPr>
                    <a:xfrm>
                      <a:off x="0" y="0"/>
                      <a:ext cx="2880000" cy="2200162"/>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212881"/>
            <wp:docPr id="6" name="Picture 6"/>
            <wp:cNvGraphicFramePr>
              <a:graphicFrameLocks noChangeAspect="1"/>
            </wp:cNvGraphicFramePr>
            <a:graphic>
              <a:graphicData uri="http://schemas.openxmlformats.org/drawingml/2006/picture">
                <pic:pic>
                  <pic:nvPicPr>
                    <pic:cNvPr id="0" name="img010.png"/>
                    <pic:cNvPicPr/>
                  </pic:nvPicPr>
                  <pic:blipFill>
                    <a:blip r:embed="rId16"/>
                    <a:stretch>
                      <a:fillRect/>
                    </a:stretch>
                  </pic:blipFill>
                  <pic:spPr>
                    <a:xfrm>
                      <a:off x="0" y="0"/>
                      <a:ext cx="2880000" cy="2212881"/>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4</w:t>
      </w:r>
    </w:p>
    <w:p>
      <w:pPr>
        <w:spacing w:before="40" w:after="80" w:line="240" w:lineRule="auto"/>
        <w:jc w:val="center"/>
      </w:pPr>
      <w:r>
        <w:drawing>
          <wp:inline xmlns:a="http://schemas.openxmlformats.org/drawingml/2006/main" xmlns:pic="http://schemas.openxmlformats.org/drawingml/2006/picture">
            <wp:extent cx="2880000" cy="2238236"/>
            <wp:docPr id="7" name="Picture 7"/>
            <wp:cNvGraphicFramePr>
              <a:graphicFrameLocks noChangeAspect="1"/>
            </wp:cNvGraphicFramePr>
            <a:graphic>
              <a:graphicData uri="http://schemas.openxmlformats.org/drawingml/2006/picture">
                <pic:pic>
                  <pic:nvPicPr>
                    <pic:cNvPr id="0" name="img011.png"/>
                    <pic:cNvPicPr/>
                  </pic:nvPicPr>
                  <pic:blipFill>
                    <a:blip r:embed="rId17"/>
                    <a:stretch>
                      <a:fillRect/>
                    </a:stretch>
                  </pic:blipFill>
                  <pic:spPr>
                    <a:xfrm>
                      <a:off x="0" y="0"/>
                      <a:ext cx="2880000" cy="2238236"/>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174229"/>
            <wp:docPr id="8" name="Picture 8"/>
            <wp:cNvGraphicFramePr>
              <a:graphicFrameLocks noChangeAspect="1"/>
            </wp:cNvGraphicFramePr>
            <a:graphic>
              <a:graphicData uri="http://schemas.openxmlformats.org/drawingml/2006/picture">
                <pic:pic>
                  <pic:nvPicPr>
                    <pic:cNvPr id="0" name="img012.png"/>
                    <pic:cNvPicPr/>
                  </pic:nvPicPr>
                  <pic:blipFill>
                    <a:blip r:embed="rId18"/>
                    <a:stretch>
                      <a:fillRect/>
                    </a:stretch>
                  </pic:blipFill>
                  <pic:spPr>
                    <a:xfrm>
                      <a:off x="0" y="0"/>
                      <a:ext cx="2880000" cy="2174229"/>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5</w:t>
      </w:r>
    </w:p>
    <w:p>
      <w:pPr>
        <w:spacing w:before="40" w:after="80" w:line="240" w:lineRule="auto"/>
        <w:jc w:val="center"/>
      </w:pPr>
      <w:r>
        <w:drawing>
          <wp:inline xmlns:a="http://schemas.openxmlformats.org/drawingml/2006/main" xmlns:pic="http://schemas.openxmlformats.org/drawingml/2006/picture">
            <wp:extent cx="2880000" cy="2219347"/>
            <wp:docPr id="9" name="Picture 9"/>
            <wp:cNvGraphicFramePr>
              <a:graphicFrameLocks noChangeAspect="1"/>
            </wp:cNvGraphicFramePr>
            <a:graphic>
              <a:graphicData uri="http://schemas.openxmlformats.org/drawingml/2006/picture">
                <pic:pic>
                  <pic:nvPicPr>
                    <pic:cNvPr id="0" name="img013.png"/>
                    <pic:cNvPicPr/>
                  </pic:nvPicPr>
                  <pic:blipFill>
                    <a:blip r:embed="rId19"/>
                    <a:stretch>
                      <a:fillRect/>
                    </a:stretch>
                  </pic:blipFill>
                  <pic:spPr>
                    <a:xfrm>
                      <a:off x="0" y="0"/>
                      <a:ext cx="2880000" cy="2219347"/>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047414"/>
            <wp:docPr id="10" name="Picture 10"/>
            <wp:cNvGraphicFramePr>
              <a:graphicFrameLocks noChangeAspect="1"/>
            </wp:cNvGraphicFramePr>
            <a:graphic>
              <a:graphicData uri="http://schemas.openxmlformats.org/drawingml/2006/picture">
                <pic:pic>
                  <pic:nvPicPr>
                    <pic:cNvPr id="0" name="img014.png"/>
                    <pic:cNvPicPr/>
                  </pic:nvPicPr>
                  <pic:blipFill>
                    <a:blip r:embed="rId20"/>
                    <a:stretch>
                      <a:fillRect/>
                    </a:stretch>
                  </pic:blipFill>
                  <pic:spPr>
                    <a:xfrm>
                      <a:off x="0" y="0"/>
                      <a:ext cx="2880000" cy="2047414"/>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6</w:t>
      </w:r>
    </w:p>
    <w:p>
      <w:pPr>
        <w:spacing w:before="40" w:after="80" w:line="240" w:lineRule="auto"/>
        <w:jc w:val="center"/>
      </w:pPr>
      <w:r>
        <w:drawing>
          <wp:inline xmlns:a="http://schemas.openxmlformats.org/drawingml/2006/main" xmlns:pic="http://schemas.openxmlformats.org/drawingml/2006/picture">
            <wp:extent cx="1980000" cy="2882956"/>
            <wp:docPr id="11" name="Picture 11"/>
            <wp:cNvGraphicFramePr>
              <a:graphicFrameLocks noChangeAspect="1"/>
            </wp:cNvGraphicFramePr>
            <a:graphic>
              <a:graphicData uri="http://schemas.openxmlformats.org/drawingml/2006/picture">
                <pic:pic>
                  <pic:nvPicPr>
                    <pic:cNvPr id="0" name="img015.png"/>
                    <pic:cNvPicPr/>
                  </pic:nvPicPr>
                  <pic:blipFill>
                    <a:blip r:embed="rId21"/>
                    <a:stretch>
                      <a:fillRect/>
                    </a:stretch>
                  </pic:blipFill>
                  <pic:spPr>
                    <a:xfrm>
                      <a:off x="0" y="0"/>
                      <a:ext cx="1980000" cy="2882956"/>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7</w:t>
      </w:r>
    </w:p>
    <w:p>
      <w:pPr>
        <w:spacing w:before="40" w:after="80" w:line="240" w:lineRule="auto"/>
        <w:jc w:val="center"/>
      </w:pPr>
      <w:r>
        <w:drawing>
          <wp:inline xmlns:a="http://schemas.openxmlformats.org/drawingml/2006/main" xmlns:pic="http://schemas.openxmlformats.org/drawingml/2006/picture">
            <wp:extent cx="2880000" cy="2188052"/>
            <wp:docPr id="12" name="Picture 12"/>
            <wp:cNvGraphicFramePr>
              <a:graphicFrameLocks noChangeAspect="1"/>
            </wp:cNvGraphicFramePr>
            <a:graphic>
              <a:graphicData uri="http://schemas.openxmlformats.org/drawingml/2006/picture">
                <pic:pic>
                  <pic:nvPicPr>
                    <pic:cNvPr id="0" name="img016.png"/>
                    <pic:cNvPicPr/>
                  </pic:nvPicPr>
                  <pic:blipFill>
                    <a:blip r:embed="rId22"/>
                    <a:stretch>
                      <a:fillRect/>
                    </a:stretch>
                  </pic:blipFill>
                  <pic:spPr>
                    <a:xfrm>
                      <a:off x="0" y="0"/>
                      <a:ext cx="2880000" cy="2188052"/>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1945203"/>
            <wp:docPr id="13" name="Picture 13"/>
            <wp:cNvGraphicFramePr>
              <a:graphicFrameLocks noChangeAspect="1"/>
            </wp:cNvGraphicFramePr>
            <a:graphic>
              <a:graphicData uri="http://schemas.openxmlformats.org/drawingml/2006/picture">
                <pic:pic>
                  <pic:nvPicPr>
                    <pic:cNvPr id="0" name="img017.png"/>
                    <pic:cNvPicPr/>
                  </pic:nvPicPr>
                  <pic:blipFill>
                    <a:blip r:embed="rId23"/>
                    <a:stretch>
                      <a:fillRect/>
                    </a:stretch>
                  </pic:blipFill>
                  <pic:spPr>
                    <a:xfrm>
                      <a:off x="0" y="0"/>
                      <a:ext cx="2880000" cy="1945203"/>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 8</w:t>
      </w:r>
    </w:p>
    <w:p>
      <w:pPr>
        <w:spacing w:before="40" w:after="80" w:line="240" w:lineRule="auto"/>
        <w:jc w:val="center"/>
      </w:pPr>
      <w:r>
        <w:drawing>
          <wp:inline xmlns:a="http://schemas.openxmlformats.org/drawingml/2006/main" xmlns:pic="http://schemas.openxmlformats.org/drawingml/2006/picture">
            <wp:extent cx="2880000" cy="1977013"/>
            <wp:docPr id="14" name="Picture 14"/>
            <wp:cNvGraphicFramePr>
              <a:graphicFrameLocks noChangeAspect="1"/>
            </wp:cNvGraphicFramePr>
            <a:graphic>
              <a:graphicData uri="http://schemas.openxmlformats.org/drawingml/2006/picture">
                <pic:pic>
                  <pic:nvPicPr>
                    <pic:cNvPr id="0" name="img018.png"/>
                    <pic:cNvPicPr/>
                  </pic:nvPicPr>
                  <pic:blipFill>
                    <a:blip r:embed="rId24"/>
                    <a:stretch>
                      <a:fillRect/>
                    </a:stretch>
                  </pic:blipFill>
                  <pic:spPr>
                    <a:xfrm>
                      <a:off x="0" y="0"/>
                      <a:ext cx="2880000" cy="1977013"/>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1894117"/>
            <wp:docPr id="15" name="Picture 15"/>
            <wp:cNvGraphicFramePr>
              <a:graphicFrameLocks noChangeAspect="1"/>
            </wp:cNvGraphicFramePr>
            <a:graphic>
              <a:graphicData uri="http://schemas.openxmlformats.org/drawingml/2006/picture">
                <pic:pic>
                  <pic:nvPicPr>
                    <pic:cNvPr id="0" name="img019.png"/>
                    <pic:cNvPicPr/>
                  </pic:nvPicPr>
                  <pic:blipFill>
                    <a:blip r:embed="rId25"/>
                    <a:stretch>
                      <a:fillRect/>
                    </a:stretch>
                  </pic:blipFill>
                  <pic:spPr>
                    <a:xfrm>
                      <a:off x="0" y="0"/>
                      <a:ext cx="2880000" cy="1894117"/>
                    </a:xfrm>
                    <a:prstGeom prst="rect"/>
                  </pic:spPr>
                </pic:pic>
              </a:graphicData>
            </a:graphic>
          </wp:inline>
        </w:drawing>
      </w:r>
    </w:p>
    <w:p>
      <w:pPr>
        <w:keepNext/>
        <w:spacing w:before="40" w:after="200" w:line="240" w:lineRule="auto"/>
        <w:jc w:val="left"/>
      </w:pPr>
      <w:r>
        <w:rPr>
          <w:rFonts w:ascii="Century Gothic" w:hAnsi="Century Gothic" w:cs="Century Gothic" w:eastAsia="Century Gothic"/>
          <w:b/>
          <w:i w:val="0"/>
          <w:sz w:val="22"/>
        </w:rPr>
        <w:t>AULAS EN LA MONOBLOCK</w:t>
      </w:r>
    </w:p>
    <w:p>
      <w:pPr>
        <w:spacing w:before="40" w:after="80" w:line="240" w:lineRule="auto"/>
        <w:jc w:val="center"/>
      </w:pPr>
      <w:r>
        <w:drawing>
          <wp:inline xmlns:a="http://schemas.openxmlformats.org/drawingml/2006/main" xmlns:pic="http://schemas.openxmlformats.org/drawingml/2006/picture">
            <wp:extent cx="2880000" cy="2179215"/>
            <wp:docPr id="16" name="Picture 16"/>
            <wp:cNvGraphicFramePr>
              <a:graphicFrameLocks noChangeAspect="1"/>
            </wp:cNvGraphicFramePr>
            <a:graphic>
              <a:graphicData uri="http://schemas.openxmlformats.org/drawingml/2006/picture">
                <pic:pic>
                  <pic:nvPicPr>
                    <pic:cNvPr id="0" name="img020.png"/>
                    <pic:cNvPicPr/>
                  </pic:nvPicPr>
                  <pic:blipFill>
                    <a:blip r:embed="rId26"/>
                    <a:stretch>
                      <a:fillRect/>
                    </a:stretch>
                  </pic:blipFill>
                  <pic:spPr>
                    <a:xfrm>
                      <a:off x="0" y="0"/>
                      <a:ext cx="2880000" cy="2179215"/>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1965070"/>
            <wp:docPr id="17" name="Picture 17"/>
            <wp:cNvGraphicFramePr>
              <a:graphicFrameLocks noChangeAspect="1"/>
            </wp:cNvGraphicFramePr>
            <a:graphic>
              <a:graphicData uri="http://schemas.openxmlformats.org/drawingml/2006/picture">
                <pic:pic>
                  <pic:nvPicPr>
                    <pic:cNvPr id="0" name="img021.png"/>
                    <pic:cNvPicPr/>
                  </pic:nvPicPr>
                  <pic:blipFill>
                    <a:blip r:embed="rId27"/>
                    <a:stretch>
                      <a:fillRect/>
                    </a:stretch>
                  </pic:blipFill>
                  <pic:spPr>
                    <a:xfrm>
                      <a:off x="0" y="0"/>
                      <a:ext cx="2880000" cy="1965070"/>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1876291"/>
            <wp:docPr id="18" name="Picture 18"/>
            <wp:cNvGraphicFramePr>
              <a:graphicFrameLocks noChangeAspect="1"/>
            </wp:cNvGraphicFramePr>
            <a:graphic>
              <a:graphicData uri="http://schemas.openxmlformats.org/drawingml/2006/picture">
                <pic:pic>
                  <pic:nvPicPr>
                    <pic:cNvPr id="0" name="img022.png"/>
                    <pic:cNvPicPr/>
                  </pic:nvPicPr>
                  <pic:blipFill>
                    <a:blip r:embed="rId28"/>
                    <a:stretch>
                      <a:fillRect/>
                    </a:stretch>
                  </pic:blipFill>
                  <pic:spPr>
                    <a:xfrm>
                      <a:off x="0" y="0"/>
                      <a:ext cx="2880000" cy="1876291"/>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1970033"/>
            <wp:docPr id="19" name="Picture 19"/>
            <wp:cNvGraphicFramePr>
              <a:graphicFrameLocks noChangeAspect="1"/>
            </wp:cNvGraphicFramePr>
            <a:graphic>
              <a:graphicData uri="http://schemas.openxmlformats.org/drawingml/2006/picture">
                <pic:pic>
                  <pic:nvPicPr>
                    <pic:cNvPr id="0" name="img023.png"/>
                    <pic:cNvPicPr/>
                  </pic:nvPicPr>
                  <pic:blipFill>
                    <a:blip r:embed="rId29"/>
                    <a:stretch>
                      <a:fillRect/>
                    </a:stretch>
                  </pic:blipFill>
                  <pic:spPr>
                    <a:xfrm>
                      <a:off x="0" y="0"/>
                      <a:ext cx="2880000" cy="1970033"/>
                    </a:xfrm>
                    <a:prstGeom prst="rect"/>
                  </pic:spPr>
                </pic:pic>
              </a:graphicData>
            </a:graphic>
          </wp:inline>
        </w:drawing>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14.4</w:t>
        <w:tab/>
      </w:r>
      <w:r>
        <w:rPr>
          <w:rFonts w:ascii="Century Gothic" w:hAnsi="Century Gothic" w:cs="Century Gothic" w:eastAsia="Century Gothic"/>
          <w:b/>
          <w:i w:val="0"/>
          <w:sz w:val="24"/>
        </w:rPr>
        <w:t>Áreas de biblioteca, hemeroteca e información dura o digital</w:t>
      </w:r>
    </w:p>
    <w:p>
      <w:pPr>
        <w:spacing w:before="0" w:after="200" w:line="240" w:lineRule="auto"/>
        <w:jc w:val="both"/>
      </w:pPr>
      <w:r>
        <w:rPr>
          <w:rFonts w:ascii="Century Gothic" w:hAnsi="Century Gothic" w:cs="Century Gothic" w:eastAsia="Century Gothic"/>
          <w:b/>
          <w:i w:val="0"/>
          <w:sz w:val="20"/>
        </w:rPr>
        <w:t>c.</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Biblioteca.</w:t>
      </w:r>
      <w:r>
        <w:rPr>
          <w:rFonts w:ascii="Century Gothic" w:hAnsi="Century Gothic" w:cs="Century Gothic" w:eastAsia="Century Gothic"/>
          <w:b w:val="0"/>
          <w:i w:val="0"/>
          <w:sz w:val="20"/>
        </w:rPr>
        <w:t xml:space="preserve"> Ubicada en predios del Edificio Nava Morales, con una sala de lectura con capacidad para noventa (90) estudiantes; dotada con 6.253 libros de texto, 108 tesis de maestría, 87 tesis de grado, 668 proyectos de grado y 1.530 trabajos dirigidos 1.951 memorias de PETAENG 428. Además, cuenta con un sistema informático integrado conformado por: Sistema de Gestión Automatizado de Biblioteca Virtual (KOHA) y Control Biométrico.</w:t>
      </w:r>
    </w:p>
    <w:p>
      <w:pPr>
        <w:spacing w:before="0" w:after="200" w:line="240" w:lineRule="auto"/>
        <w:jc w:val="both"/>
      </w:pPr>
      <w:r>
        <w:rPr>
          <w:rFonts w:ascii="Century Gothic" w:hAnsi="Century Gothic" w:cs="Century Gothic" w:eastAsia="Century Gothic"/>
          <w:b w:val="0"/>
          <w:i w:val="0"/>
          <w:sz w:val="20"/>
        </w:rPr>
        <w:t>Forma parte de la biblioteca digital universitaria a través del repositorio institucional de la Universidad Mayor de San Andrés con documentación a texto completo; y se posee acceso a recursos electrónicos mediante las plataformas Research4Life que brinda información a países en desarrollo mediante una biblioteca con más de 70.000 revistas científicas internacionales y SciELO que es una colección de revistas científicas electrónicas.</w:t>
      </w:r>
    </w:p>
    <w:p>
      <w:pPr>
        <w:spacing w:before="0" w:after="200" w:line="240" w:lineRule="auto"/>
        <w:jc w:val="both"/>
      </w:pPr>
      <w:r>
        <w:rPr>
          <w:rFonts w:ascii="Century Gothic" w:hAnsi="Century Gothic" w:cs="Century Gothic" w:eastAsia="Century Gothic"/>
          <w:b w:val="0"/>
          <w:i w:val="0"/>
          <w:sz w:val="20"/>
        </w:rPr>
        <w:t>Scopus. Es una base de datos que reúne el 80 % de la producción científica mundial publicado por más de 7000 editoriales de todo el mundo por lo que se tiene acceso a artículos científicos de revistas.</w:t>
      </w:r>
    </w:p>
    <w:p>
      <w:pPr>
        <w:spacing w:before="0" w:after="200" w:line="240" w:lineRule="auto"/>
        <w:jc w:val="both"/>
      </w:pPr>
      <w:r>
        <w:rPr>
          <w:rFonts w:ascii="Century Gothic" w:hAnsi="Century Gothic" w:cs="Century Gothic" w:eastAsia="Century Gothic"/>
          <w:b w:val="0"/>
          <w:i w:val="0"/>
          <w:sz w:val="20"/>
        </w:rPr>
        <w:t>Dialnet. es uno de los mayores portales bibliográficos del mundo, cuyo principal cometido es dar mayor visibilidad a la literatura científica hispana.</w:t>
      </w:r>
    </w:p>
    <w:p>
      <w:pPr>
        <w:spacing w:before="0" w:after="200" w:line="240" w:lineRule="auto"/>
        <w:jc w:val="both"/>
      </w:pPr>
      <w:r>
        <w:rPr>
          <w:rFonts w:ascii="Century Gothic" w:hAnsi="Century Gothic" w:cs="Century Gothic" w:eastAsia="Century Gothic"/>
          <w:b w:val="0"/>
          <w:i w:val="0"/>
          <w:sz w:val="20"/>
        </w:rPr>
        <w:t>Tiene una base de datos de contenidos científicos hispanos. En la actualidad se puede encontrar en Dialnet artículos de revista, libros y artículos de libros colectivos, actas de congresos, tesis doctorales, reseñas de otras publicaciones.</w:t>
      </w:r>
    </w:p>
    <w:p>
      <w:pPr>
        <w:keepNext/>
        <w:spacing w:before="40" w:after="200" w:line="240" w:lineRule="auto"/>
        <w:jc w:val="left"/>
      </w:pPr>
      <w:r>
        <w:rPr>
          <w:rFonts w:ascii="Century Gothic" w:hAnsi="Century Gothic" w:cs="Century Gothic" w:eastAsia="Century Gothic"/>
          <w:b/>
          <w:i w:val="0"/>
          <w:sz w:val="22"/>
        </w:rPr>
        <w:t>Sala de Lectura (Biblioteca)</w:t>
      </w:r>
    </w:p>
    <w:p>
      <w:pPr>
        <w:spacing w:before="40" w:after="80" w:line="240" w:lineRule="auto"/>
        <w:jc w:val="center"/>
      </w:pPr>
      <w:r>
        <w:drawing>
          <wp:inline xmlns:a="http://schemas.openxmlformats.org/drawingml/2006/main" xmlns:pic="http://schemas.openxmlformats.org/drawingml/2006/picture">
            <wp:extent cx="2880000" cy="2182687"/>
            <wp:docPr id="20" name="Picture 20"/>
            <wp:cNvGraphicFramePr>
              <a:graphicFrameLocks noChangeAspect="1"/>
            </wp:cNvGraphicFramePr>
            <a:graphic>
              <a:graphicData uri="http://schemas.openxmlformats.org/drawingml/2006/picture">
                <pic:pic>
                  <pic:nvPicPr>
                    <pic:cNvPr id="0" name="img001.png"/>
                    <pic:cNvPicPr/>
                  </pic:nvPicPr>
                  <pic:blipFill>
                    <a:blip r:embed="rId30"/>
                    <a:stretch>
                      <a:fillRect/>
                    </a:stretch>
                  </pic:blipFill>
                  <pic:spPr>
                    <a:xfrm>
                      <a:off x="0" y="0"/>
                      <a:ext cx="2880000" cy="2182687"/>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080663"/>
            <wp:docPr id="21" name="Picture 21"/>
            <wp:cNvGraphicFramePr>
              <a:graphicFrameLocks noChangeAspect="1"/>
            </wp:cNvGraphicFramePr>
            <a:graphic>
              <a:graphicData uri="http://schemas.openxmlformats.org/drawingml/2006/picture">
                <pic:pic>
                  <pic:nvPicPr>
                    <pic:cNvPr id="0" name="img002.png"/>
                    <pic:cNvPicPr/>
                  </pic:nvPicPr>
                  <pic:blipFill>
                    <a:blip r:embed="rId31"/>
                    <a:stretch>
                      <a:fillRect/>
                    </a:stretch>
                  </pic:blipFill>
                  <pic:spPr>
                    <a:xfrm>
                      <a:off x="0" y="0"/>
                      <a:ext cx="2880000" cy="2080663"/>
                    </a:xfrm>
                    <a:prstGeom prst="rect"/>
                  </pic:spPr>
                </pic:pic>
              </a:graphicData>
            </a:graphic>
          </wp:inline>
        </w:drawing>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14.5</w:t>
        <w:tab/>
      </w:r>
      <w:r>
        <w:rPr>
          <w:rFonts w:ascii="Century Gothic" w:hAnsi="Century Gothic" w:cs="Century Gothic" w:eastAsia="Century Gothic"/>
          <w:b/>
          <w:i w:val="0"/>
          <w:sz w:val="24"/>
        </w:rPr>
        <w:t>Salas de computación y computadores estacionales y portátiles</w:t>
      </w:r>
    </w:p>
    <w:p>
      <w:pPr>
        <w:spacing w:before="0" w:after="200" w:line="240" w:lineRule="auto"/>
        <w:jc w:val="both"/>
      </w:pPr>
      <w:r>
        <w:rPr>
          <w:rFonts w:ascii="Century Gothic" w:hAnsi="Century Gothic" w:cs="Century Gothic" w:eastAsia="Century Gothic"/>
          <w:b/>
          <w:i w:val="0"/>
          <w:sz w:val="20"/>
        </w:rPr>
        <w:t>Laboratorios de Computación.</w:t>
      </w:r>
      <w:r>
        <w:rPr>
          <w:rFonts w:ascii="Century Gothic" w:hAnsi="Century Gothic" w:cs="Century Gothic" w:eastAsia="Century Gothic"/>
          <w:b w:val="0"/>
          <w:i w:val="0"/>
          <w:sz w:val="20"/>
        </w:rPr>
        <w:t xml:space="preserve"> Ubicados en predios del: Edificio Nava Morales y Edificio Monoblock Central con setenta (70) y treinta y nueve (39) equipos de computación respectivamente.</w:t>
      </w:r>
    </w:p>
    <w:p>
      <w:pPr>
        <w:spacing w:before="0" w:after="200" w:line="240" w:lineRule="auto"/>
        <w:jc w:val="both"/>
      </w:pPr>
      <w:r>
        <w:rPr>
          <w:rFonts w:ascii="Century Gothic" w:hAnsi="Century Gothic" w:cs="Century Gothic" w:eastAsia="Century Gothic"/>
          <w:b/>
          <w:i w:val="0"/>
          <w:sz w:val="20"/>
        </w:rPr>
        <w:t>d. Centro de Cómputo.</w:t>
      </w:r>
      <w:r>
        <w:rPr>
          <w:rFonts w:ascii="Century Gothic" w:hAnsi="Century Gothic" w:cs="Century Gothic" w:eastAsia="Century Gothic"/>
          <w:b w:val="0"/>
          <w:i w:val="0"/>
          <w:sz w:val="20"/>
        </w:rPr>
        <w:t xml:space="preserve"> Ubicado en la Avenida Villazón, con un gabinete de red, punto desde el cual se distribuye el servicio de internet para todos los predios de la Carrera de Contaduría Pública, con tres (3) impresoras, un escáner de alta velocidad y cuatro (4) equipos de computación.</w:t>
      </w:r>
    </w:p>
    <w:p>
      <w:pPr>
        <w:keepNext/>
        <w:spacing w:before="40" w:after="200" w:line="240" w:lineRule="auto"/>
        <w:jc w:val="left"/>
      </w:pPr>
      <w:r>
        <w:rPr>
          <w:rFonts w:ascii="Century Gothic" w:hAnsi="Century Gothic" w:cs="Century Gothic" w:eastAsia="Century Gothic"/>
          <w:b/>
          <w:i w:val="0"/>
          <w:sz w:val="22"/>
        </w:rPr>
        <w:t>Sala de computación</w:t>
      </w:r>
    </w:p>
    <w:p>
      <w:pPr>
        <w:spacing w:before="40" w:after="80" w:line="240" w:lineRule="auto"/>
        <w:jc w:val="center"/>
      </w:pPr>
      <w:r>
        <w:drawing>
          <wp:inline xmlns:a="http://schemas.openxmlformats.org/drawingml/2006/main" xmlns:pic="http://schemas.openxmlformats.org/drawingml/2006/picture">
            <wp:extent cx="2880000" cy="2176417"/>
            <wp:docPr id="22" name="Picture 22"/>
            <wp:cNvGraphicFramePr>
              <a:graphicFrameLocks noChangeAspect="1"/>
            </wp:cNvGraphicFramePr>
            <a:graphic>
              <a:graphicData uri="http://schemas.openxmlformats.org/drawingml/2006/picture">
                <pic:pic>
                  <pic:nvPicPr>
                    <pic:cNvPr id="0" name="img003.png"/>
                    <pic:cNvPicPr/>
                  </pic:nvPicPr>
                  <pic:blipFill>
                    <a:blip r:embed="rId32"/>
                    <a:stretch>
                      <a:fillRect/>
                    </a:stretch>
                  </pic:blipFill>
                  <pic:spPr>
                    <a:xfrm>
                      <a:off x="0" y="0"/>
                      <a:ext cx="2880000" cy="2176417"/>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053184"/>
            <wp:docPr id="23" name="Picture 23"/>
            <wp:cNvGraphicFramePr>
              <a:graphicFrameLocks noChangeAspect="1"/>
            </wp:cNvGraphicFramePr>
            <a:graphic>
              <a:graphicData uri="http://schemas.openxmlformats.org/drawingml/2006/picture">
                <pic:pic>
                  <pic:nvPicPr>
                    <pic:cNvPr id="0" name="img004.png"/>
                    <pic:cNvPicPr/>
                  </pic:nvPicPr>
                  <pic:blipFill>
                    <a:blip r:embed="rId33"/>
                    <a:stretch>
                      <a:fillRect/>
                    </a:stretch>
                  </pic:blipFill>
                  <pic:spPr>
                    <a:xfrm>
                      <a:off x="0" y="0"/>
                      <a:ext cx="2880000" cy="2053184"/>
                    </a:xfrm>
                    <a:prstGeom prst="rect"/>
                  </pic:spPr>
                </pic:pic>
              </a:graphicData>
            </a:graphic>
          </wp:inline>
        </w:drawing>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14.6</w:t>
        <w:tab/>
      </w:r>
      <w:r>
        <w:rPr>
          <w:rFonts w:ascii="Century Gothic" w:hAnsi="Century Gothic" w:cs="Century Gothic" w:eastAsia="Century Gothic"/>
          <w:b/>
          <w:i w:val="0"/>
          <w:sz w:val="24"/>
        </w:rPr>
        <w:t>Ambientes administrativos y sala de docentes</w:t>
      </w:r>
    </w:p>
    <w:p>
      <w:pPr>
        <w:keepNext/>
        <w:spacing w:before="40" w:after="200" w:line="240" w:lineRule="auto"/>
        <w:jc w:val="left"/>
      </w:pPr>
      <w:r>
        <w:rPr>
          <w:rFonts w:ascii="Century Gothic" w:hAnsi="Century Gothic" w:cs="Century Gothic" w:eastAsia="Century Gothic"/>
          <w:b/>
          <w:i w:val="0"/>
          <w:sz w:val="22"/>
        </w:rPr>
        <w:t>SALA DE DOCENTES</w:t>
      </w:r>
    </w:p>
    <w:p>
      <w:pPr>
        <w:spacing w:before="40" w:after="80" w:line="240" w:lineRule="auto"/>
        <w:jc w:val="center"/>
      </w:pPr>
      <w:r>
        <w:drawing>
          <wp:inline xmlns:a="http://schemas.openxmlformats.org/drawingml/2006/main" xmlns:pic="http://schemas.openxmlformats.org/drawingml/2006/picture">
            <wp:extent cx="2880000" cy="2381084"/>
            <wp:docPr id="24" name="Picture 24"/>
            <wp:cNvGraphicFramePr>
              <a:graphicFrameLocks noChangeAspect="1"/>
            </wp:cNvGraphicFramePr>
            <a:graphic>
              <a:graphicData uri="http://schemas.openxmlformats.org/drawingml/2006/picture">
                <pic:pic>
                  <pic:nvPicPr>
                    <pic:cNvPr id="0" name="img024.png"/>
                    <pic:cNvPicPr/>
                  </pic:nvPicPr>
                  <pic:blipFill>
                    <a:blip r:embed="rId34"/>
                    <a:stretch>
                      <a:fillRect/>
                    </a:stretch>
                  </pic:blipFill>
                  <pic:spPr>
                    <a:xfrm>
                      <a:off x="0" y="0"/>
                      <a:ext cx="2880000" cy="2381084"/>
                    </a:xfrm>
                    <a:prstGeom prst="rect"/>
                  </pic:spPr>
                </pic:pic>
              </a:graphicData>
            </a:graphic>
          </wp:inline>
        </w:drawing>
      </w:r>
    </w:p>
    <w:p>
      <w:pPr>
        <w:spacing w:before="40" w:after="80" w:line="240" w:lineRule="auto"/>
        <w:jc w:val="center"/>
      </w:pPr>
      <w:r>
        <w:drawing>
          <wp:inline xmlns:a="http://schemas.openxmlformats.org/drawingml/2006/main" xmlns:pic="http://schemas.openxmlformats.org/drawingml/2006/picture">
            <wp:extent cx="2880000" cy="2158802"/>
            <wp:docPr id="25" name="Picture 25"/>
            <wp:cNvGraphicFramePr>
              <a:graphicFrameLocks noChangeAspect="1"/>
            </wp:cNvGraphicFramePr>
            <a:graphic>
              <a:graphicData uri="http://schemas.openxmlformats.org/drawingml/2006/picture">
                <pic:pic>
                  <pic:nvPicPr>
                    <pic:cNvPr id="0" name="img025.png"/>
                    <pic:cNvPicPr/>
                  </pic:nvPicPr>
                  <pic:blipFill>
                    <a:blip r:embed="rId35"/>
                    <a:stretch>
                      <a:fillRect/>
                    </a:stretch>
                  </pic:blipFill>
                  <pic:spPr>
                    <a:xfrm>
                      <a:off x="0" y="0"/>
                      <a:ext cx="2880000" cy="2158802"/>
                    </a:xfrm>
                    <a:prstGeom prst="rect"/>
                  </pic:spPr>
                </pic:pic>
              </a:graphicData>
            </a:graphic>
          </wp:inline>
        </w:drawing>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14.9</w:t>
        <w:tab/>
      </w:r>
      <w:r>
        <w:rPr>
          <w:rFonts w:ascii="Century Gothic" w:hAnsi="Century Gothic" w:cs="Century Gothic" w:eastAsia="Century Gothic"/>
          <w:b/>
          <w:i w:val="0"/>
          <w:sz w:val="24"/>
        </w:rPr>
        <w:t>Software</w:t>
      </w:r>
    </w:p>
    <w:p>
      <w:pPr>
        <w:spacing w:before="0" w:after="200" w:line="240" w:lineRule="auto"/>
        <w:jc w:val="both"/>
      </w:pPr>
      <w:r>
        <w:rPr>
          <w:rFonts w:ascii="Century Gothic" w:hAnsi="Century Gothic" w:cs="Century Gothic" w:eastAsia="Century Gothic"/>
          <w:b/>
          <w:i w:val="0"/>
          <w:sz w:val="20"/>
        </w:rPr>
        <w:t>e. Pool de Servidores.</w:t>
      </w:r>
      <w:r>
        <w:rPr>
          <w:rFonts w:ascii="Century Gothic" w:hAnsi="Century Gothic" w:cs="Century Gothic" w:eastAsia="Century Gothic"/>
          <w:b w:val="0"/>
          <w:i w:val="0"/>
          <w:sz w:val="20"/>
        </w:rPr>
        <w:t xml:space="preserve"> Los servidores de la Carrera Contaduría Pública se encuentran instalados en el pool de servidores de la Universidad Mayor de San Andrés el cual garantiza disponibilidad y funcionamiento continuo al contar con baterías que pueden garantizar el funcionamiento aun durante cortes de energía eléctrica.</w:t>
      </w:r>
    </w:p>
    <w:p>
      <w:pPr>
        <w:spacing w:before="0" w:after="200" w:line="240" w:lineRule="auto"/>
        <w:jc w:val="both"/>
      </w:pPr>
      <w:r>
        <w:rPr>
          <w:rFonts w:ascii="Century Gothic" w:hAnsi="Century Gothic" w:cs="Century Gothic" w:eastAsia="Century Gothic"/>
          <w:b/>
          <w:i w:val="0"/>
          <w:sz w:val="20"/>
        </w:rPr>
        <w:t>f. Seguimiento Académico.</w:t>
      </w:r>
      <w:r>
        <w:rPr>
          <w:rFonts w:ascii="Century Gothic" w:hAnsi="Century Gothic" w:cs="Century Gothic" w:eastAsia="Century Gothic"/>
          <w:b w:val="0"/>
          <w:i w:val="0"/>
          <w:sz w:val="20"/>
        </w:rPr>
        <w:t xml:space="preserve"> Se cuenta con un sistema informático destinado a efectuar seguimiento académico de los estudiantes.</w:t>
      </w:r>
    </w:p>
    <w:p>
      <w:pPr>
        <w:spacing w:before="0" w:after="200" w:line="240" w:lineRule="auto"/>
        <w:jc w:val="both"/>
      </w:pPr>
      <w:r>
        <w:rPr>
          <w:rFonts w:ascii="Century Gothic" w:hAnsi="Century Gothic" w:cs="Century Gothic" w:eastAsia="Century Gothic"/>
          <w:b/>
          <w:i w:val="0"/>
          <w:sz w:val="20"/>
        </w:rPr>
        <w:t>g. Plataforma Virtual.</w:t>
      </w:r>
      <w:r>
        <w:rPr>
          <w:rFonts w:ascii="Century Gothic" w:hAnsi="Century Gothic" w:cs="Century Gothic" w:eastAsia="Century Gothic"/>
          <w:b w:val="0"/>
          <w:i w:val="0"/>
          <w:sz w:val="20"/>
        </w:rPr>
        <w:t xml:space="preserve"> Se cuenta con una plataforma virtual para poder administrar recursos que permiten reforzar el aprendizaje en aulas, además esta plataforma se encuentra habilitada para la recepción de tareas y tomas de controles de lectura y otras evaluaciones en línea.</w:t>
      </w:r>
    </w:p>
    <w:p>
      <w:pPr>
        <w:spacing w:before="0" w:after="200" w:line="240" w:lineRule="auto"/>
        <w:jc w:val="both"/>
      </w:pPr>
      <w:r>
        <w:rPr>
          <w:rFonts w:ascii="Century Gothic" w:hAnsi="Century Gothic" w:cs="Century Gothic" w:eastAsia="Century Gothic"/>
          <w:b/>
          <w:i w:val="0"/>
          <w:sz w:val="20"/>
        </w:rPr>
        <w:t>h. Control de Asistencia Docente.</w:t>
      </w:r>
      <w:r>
        <w:rPr>
          <w:rFonts w:ascii="Century Gothic" w:hAnsi="Century Gothic" w:cs="Century Gothic" w:eastAsia="Century Gothic"/>
          <w:b w:val="0"/>
          <w:i w:val="0"/>
          <w:sz w:val="20"/>
        </w:rPr>
        <w:t xml:space="preserve"> Se cuenta con un sistema informático biométrico, ubicado en Av. Villazón y Av. Montes, destinado a efectuar control de asistencia a clases para Docentes de la Carrera.</w:t>
      </w:r>
    </w:p>
    <w:p>
      <w:pPr>
        <w:spacing w:before="0" w:after="200" w:line="240" w:lineRule="auto"/>
        <w:jc w:val="both"/>
      </w:pPr>
      <w:r>
        <w:rPr>
          <w:rFonts w:ascii="Century Gothic" w:hAnsi="Century Gothic" w:cs="Century Gothic" w:eastAsia="Century Gothic"/>
          <w:b w:val="0"/>
          <w:i w:val="0"/>
          <w:sz w:val="20"/>
        </w:rPr>
        <w:t>Según los incisos a, b, c, d y g confrontados con la información contenida en el Cuadro No 9 que muestra la cantidad de Estudiantes Matriculados que ascienden a cuatro mil doscientos ochenta y tres (4.283) y tres mil cientos cuarenta y tres (3.143) Estudiantes Inscritos, se observa que la infraestructura que posee la Carrera es insuficiente; por lo que es necesario retomar las acciones que permitan contar con un edificio exclusivo para la Carrera de Contaduría Pública.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14.9.1</w:t>
        <w:tab/>
      </w:r>
      <w:r>
        <w:rPr>
          <w:rFonts w:ascii="Century Gothic" w:hAnsi="Century Gothic" w:cs="Century Gothic" w:eastAsia="Century Gothic"/>
          <w:b/>
          <w:i w:val="0"/>
          <w:sz w:val="22"/>
        </w:rPr>
        <w:t>Infraestructura tecnológica: brechas y requerimientos del nuevo plan</w:t>
      </w:r>
    </w:p>
    <w:p>
      <w:pPr>
        <w:spacing w:before="0" w:after="200" w:line="240" w:lineRule="auto"/>
        <w:jc w:val="both"/>
      </w:pPr>
      <w:r>
        <w:rPr>
          <w:rFonts w:ascii="Century Gothic" w:hAnsi="Century Gothic" w:cs="Century Gothic" w:eastAsia="Century Gothic"/>
          <w:b w:val="0"/>
          <w:i w:val="0"/>
          <w:sz w:val="20"/>
        </w:rPr>
        <w:t>El nuevo perfil curricular demanda una infraestructura tecnológica significativamente más robusta. La Reunión Sectorial del SUB (2024) estableció como política académica "el uso de las TIC, TAC, TEP y otras de acuerdo a las características de cada carrera". El WEF (2025) identifica la literacidad tecnológica como la tercera competencia de mayor crecimiento para 2025-2030, y el estudio Ipsos CIESMORI (2025) confirma una brecha del 93% en habilidades tecnológicas.</w:t>
      </w:r>
    </w:p>
    <w:p>
      <w:pPr>
        <w:spacing w:before="0" w:after="200" w:line="240" w:lineRule="auto"/>
        <w:jc w:val="both"/>
      </w:pPr>
      <w:r>
        <w:rPr>
          <w:rFonts w:ascii="Century Gothic" w:hAnsi="Century Gothic" w:cs="Century Gothic" w:eastAsia="Century Gothic"/>
          <w:b w:val="0"/>
          <w:i w:val="0"/>
          <w:sz w:val="20"/>
        </w:rPr>
        <w:t>El plan de infraestructura tecnológica asociado al rediseño debe contemplar:</w:t>
      </w:r>
    </w:p>
    <w:tbl>
      <w:tblPr>
        <w:tblW w:type="auto" w:w="0"/>
        <w:jc w:val="center"/>
        <w:tblLayout w:type="fixed"/>
        <w:tblLook w:firstColumn="1" w:firstRow="1" w:lastColumn="0" w:lastRow="0" w:noHBand="0" w:noVBand="1" w:val="04A0"/>
      </w:tblPr>
      <w:tblGrid>
        <w:gridCol w:w="2843"/>
        <w:gridCol w:w="6228"/>
      </w:tblGrid>
      <w:tr>
        <w:trPr>
          <w:tblHeader/>
        </w:trPr>
        <w:tc>
          <w:tcPr>
            <w:tcW w:type="dxa" w:w="284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w:t>
            </w:r>
          </w:p>
        </w:tc>
        <w:tc>
          <w:tcPr>
            <w:tcW w:type="dxa" w:w="62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Descripción</w:t>
            </w:r>
          </w:p>
        </w:tc>
      </w:tr>
      <w:tr>
        <w:tc>
          <w:tcPr>
            <w:tcW w:type="dxa" w:w="28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Laboratorios de cómputo</w:t>
            </w:r>
          </w:p>
        </w:tc>
        <w:tc>
          <w:tcPr>
            <w:tcW w:type="dxa" w:w="6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Software de auditoría (ACL/IDEA/CAATT), ERP (SAP, Oracle/Netsuite), análisis de datos (Power BI, Tableau, Python básico)</w:t>
            </w:r>
          </w:p>
        </w:tc>
      </w:tr>
      <w:tr>
        <w:tc>
          <w:tcPr>
            <w:tcW w:type="dxa" w:w="28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Plataformas virtuales</w:t>
            </w:r>
          </w:p>
        </w:tc>
        <w:tc>
          <w:tcPr>
            <w:tcW w:type="dxa" w:w="6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LMS para metodologías activas, repositorio de casos empresariales, acceso a normas IFAC e IASB en línea</w:t>
            </w:r>
          </w:p>
        </w:tc>
      </w:tr>
      <w:tr>
        <w:tc>
          <w:tcPr>
            <w:tcW w:type="dxa" w:w="28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Bases de datos académicas</w:t>
            </w:r>
          </w:p>
        </w:tc>
        <w:tc>
          <w:tcPr>
            <w:tcW w:type="dxa" w:w="6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Revistas especializadas en Contabilidad Internacional, acceso NIIF Foundation, IES-IFAC, WEF Reports</w:t>
            </w:r>
          </w:p>
        </w:tc>
      </w:tr>
      <w:tr>
        <w:tc>
          <w:tcPr>
            <w:tcW w:type="dxa" w:w="284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Espacios colaborativos</w:t>
            </w:r>
          </w:p>
        </w:tc>
        <w:tc>
          <w:tcPr>
            <w:tcW w:type="dxa" w:w="62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Salas de trabajo en equipo para aprendizaje basado en proyectos, simulación de firmas de auditoría y consultoría</w:t>
            </w:r>
          </w:p>
        </w:tc>
      </w:tr>
    </w:tbl>
    <w:p>
      <w:pPr>
        <w:spacing w:before="0" w:after="120" w:line="240" w:lineRule="auto"/>
        <w:jc w:val="left"/>
      </w:pP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