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Propuestas para el cumplimiento de la Resolución HCU N.º 032/2025</w:t>
      </w:r>
    </w:p>
    <w:p>
      <w:pPr>
        <w:spacing w:before="0" w:after="240" w:line="240" w:lineRule="auto"/>
        <w:jc w:val="center"/>
      </w:pPr>
      <w:r>
        <w:rPr>
          <w:rFonts w:ascii="Century Gothic" w:hAnsi="Century Gothic" w:cs="Century Gothic" w:eastAsia="Century Gothic"/>
          <w:b w:val="0"/>
          <w:i/>
          <w:sz w:val="20"/>
        </w:rPr>
        <w:t>Documento de trabajo para la Comisión Académica del Rediseño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I.</w:t>
        <w:tab/>
      </w:r>
      <w:r>
        <w:rPr>
          <w:rFonts w:ascii="Century Gothic" w:hAnsi="Century Gothic" w:cs="Century Gothic" w:eastAsia="Century Gothic"/>
          <w:b/>
          <w:i w:val="0"/>
          <w:sz w:val="24"/>
        </w:rPr>
        <w:t>Informe para la Comisión Académica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Propósito del documento</w:t>
      </w:r>
    </w:p>
    <w:p>
      <w:pPr>
        <w:spacing w:before="0" w:after="200" w:line="240" w:lineRule="auto"/>
        <w:jc w:val="both"/>
      </w:pPr>
      <w:r>
        <w:rPr>
          <w:rFonts w:ascii="Century Gothic" w:hAnsi="Century Gothic" w:cs="Century Gothic" w:eastAsia="Century Gothic"/>
          <w:b w:val="0"/>
          <w:i w:val="0"/>
          <w:sz w:val="20"/>
        </w:rPr>
        <w:t>Este documento reúne las incorporaciones que permiten al Diseño Curricular atender por completo los requisitos de la Resolución HCU N.º 032/2025, Reglamento de Innovación Curricular de la UMSA, que no se cumplen o se cumplen en parte en la versión consolidada. La Parte II contiene el texto listo para copiar y pegar en el punto que corresponde, con la indicación de dónde va y qué decisión requiere de la Comisión.</w:t>
      </w:r>
    </w:p>
    <w:p>
      <w:pPr>
        <w:spacing w:before="0" w:after="200" w:line="240" w:lineRule="auto"/>
        <w:jc w:val="both"/>
      </w:pPr>
      <w:r>
        <w:rPr>
          <w:rFonts w:ascii="Century Gothic" w:hAnsi="Century Gothic" w:cs="Century Gothic" w:eastAsia="Century Gothic"/>
          <w:b w:val="0"/>
          <w:i w:val="0"/>
          <w:sz w:val="20"/>
        </w:rPr>
        <w:t xml:space="preserve">La evaluación previa otorgó al documento </w:t>
      </w:r>
      <w:r>
        <w:rPr>
          <w:rFonts w:ascii="Century Gothic" w:hAnsi="Century Gothic" w:cs="Century Gothic" w:eastAsia="Century Gothic"/>
          <w:b/>
          <w:i w:val="0"/>
          <w:sz w:val="20"/>
        </w:rPr>
        <w:t>78 sobre 100</w:t>
      </w:r>
      <w:r>
        <w:rPr>
          <w:rFonts w:ascii="Century Gothic" w:hAnsi="Century Gothic" w:cs="Century Gothic" w:eastAsia="Century Gothic"/>
          <w:b w:val="0"/>
          <w:i w:val="0"/>
          <w:sz w:val="20"/>
        </w:rPr>
        <w:t>, con calificación de «Bueno»: cumple de forma sustancial, con observaciones subsanables antes de la evaluación ex ante de Secretaría Académica. De 84 requisitos revisados, 42 se cumplen, 33 se cumplen en parte, 3 no se cumplen, 5 dependen del punto 4.5 y 1 no aplica al rediseño.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Cómo se llega a 100</w:t>
      </w:r>
    </w:p>
    <w:p>
      <w:pPr>
        <w:spacing w:before="0" w:after="200" w:line="240" w:lineRule="auto"/>
        <w:jc w:val="both"/>
      </w:pPr>
      <w:r>
        <w:rPr>
          <w:rFonts w:ascii="Century Gothic" w:hAnsi="Century Gothic" w:cs="Century Gothic" w:eastAsia="Century Gothic"/>
          <w:b w:val="0"/>
          <w:i w:val="0"/>
          <w:sz w:val="20"/>
        </w:rPr>
        <w:t>Las propuestas son de tres tipos, según lo que la Comisión debe hacer con ellas:</w:t>
      </w:r>
    </w:p>
    <w:p>
      <w:pPr>
        <w:numPr>
          <w:ilvl w:val="0"/>
          <w:numId w:val="901"/>
        </w:numPr>
        <w:spacing w:before="0" w:after="160" w:line="240" w:lineRule="auto"/>
        <w:jc w:val="both"/>
      </w:pPr>
      <w:r>
        <w:rPr>
          <w:rFonts w:ascii="Century Gothic" w:hAnsi="Century Gothic" w:cs="Century Gothic" w:eastAsia="Century Gothic"/>
          <w:b/>
          <w:i w:val="0"/>
          <w:sz w:val="20"/>
        </w:rPr>
        <w:t>Tipo A, texto listo:</w:t>
      </w:r>
      <w:r>
        <w:rPr>
          <w:rFonts w:ascii="Century Gothic" w:hAnsi="Century Gothic" w:cs="Century Gothic" w:eastAsia="Century Gothic"/>
          <w:b w:val="0"/>
          <w:i w:val="0"/>
          <w:sz w:val="20"/>
        </w:rPr>
        <w:t xml:space="preserve"> se apoya solo en información que ya está en el documento o en los planes de asignatura. Basta con revisarlo y aprobarlo.</w:t>
      </w:r>
    </w:p>
    <w:p>
      <w:pPr>
        <w:numPr>
          <w:ilvl w:val="0"/>
          <w:numId w:val="901"/>
        </w:numPr>
        <w:spacing w:before="0" w:after="160" w:line="240" w:lineRule="auto"/>
        <w:jc w:val="both"/>
      </w:pPr>
      <w:r>
        <w:rPr>
          <w:rFonts w:ascii="Century Gothic" w:hAnsi="Century Gothic" w:cs="Century Gothic" w:eastAsia="Century Gothic"/>
          <w:b/>
          <w:i w:val="0"/>
          <w:sz w:val="20"/>
        </w:rPr>
        <w:t>Tipo B, requiere decisión:</w:t>
      </w:r>
      <w:r>
        <w:rPr>
          <w:rFonts w:ascii="Century Gothic" w:hAnsi="Century Gothic" w:cs="Century Gothic" w:eastAsia="Century Gothic"/>
          <w:b w:val="0"/>
          <w:i w:val="0"/>
          <w:sz w:val="20"/>
        </w:rPr>
        <w:t xml:space="preserve"> el texto propone un valor o una regla, por ejemplo las horas mínimas de práctica o el número máximo de estudiantes por paralelo. La Comisión debe confirmar o ajustar la cifra antes de pegarlo.</w:t>
      </w:r>
    </w:p>
    <w:p>
      <w:pPr>
        <w:numPr>
          <w:ilvl w:val="0"/>
          <w:numId w:val="901"/>
        </w:numPr>
        <w:spacing w:before="0" w:after="200" w:line="240" w:lineRule="auto"/>
        <w:jc w:val="both"/>
      </w:pPr>
      <w:r>
        <w:rPr>
          <w:rFonts w:ascii="Century Gothic" w:hAnsi="Century Gothic" w:cs="Century Gothic" w:eastAsia="Century Gothic"/>
          <w:b/>
          <w:i w:val="0"/>
          <w:sz w:val="20"/>
        </w:rPr>
        <w:t>Tipo C, requiere dato o documento:</w:t>
      </w:r>
      <w:r>
        <w:rPr>
          <w:rFonts w:ascii="Century Gothic" w:hAnsi="Century Gothic" w:cs="Century Gothic" w:eastAsia="Century Gothic"/>
          <w:b w:val="0"/>
          <w:i w:val="0"/>
          <w:sz w:val="20"/>
        </w:rPr>
        <w:t xml:space="preserve"> el texto deja un espacio para un dato que no consta en el documento, como los costos del presupuesto o la cita literal del PEI-UMSA 2026-2030, o anuncia un anexo que la Carrera debe adjuntar.</w:t>
      </w:r>
    </w:p>
    <w:p>
      <w:pPr>
        <w:spacing w:before="0" w:after="200" w:line="240" w:lineRule="auto"/>
        <w:jc w:val="both"/>
      </w:pPr>
      <w:r>
        <w:rPr>
          <w:rFonts w:ascii="Century Gothic" w:hAnsi="Century Gothic" w:cs="Century Gothic" w:eastAsia="Century Gothic"/>
          <w:b w:val="0"/>
          <w:i w:val="0"/>
          <w:sz w:val="20"/>
        </w:rPr>
        <w:t xml:space="preserve">Con todas las propuestas incorporadas, la calificación estimada sube a unos </w:t>
      </w:r>
      <w:r>
        <w:rPr>
          <w:rFonts w:ascii="Century Gothic" w:hAnsi="Century Gothic" w:cs="Century Gothic" w:eastAsia="Century Gothic"/>
          <w:b/>
          <w:i w:val="0"/>
          <w:sz w:val="20"/>
        </w:rPr>
        <w:t>95 puntos sin el punto 4.5</w:t>
      </w:r>
      <w:r>
        <w:rPr>
          <w:rFonts w:ascii="Century Gothic" w:hAnsi="Century Gothic" w:cs="Century Gothic" w:eastAsia="Century Gothic"/>
          <w:b w:val="0"/>
          <w:i w:val="0"/>
          <w:sz w:val="20"/>
        </w:rPr>
        <w:t>. Los cinco puntos restantes dependen de dos condiciones: integrar el punto 4.5 con la justificación y el cronograma por elemento de competencia que pide el Artículo 12, y completar los datos y anexos de tipo C. Las estimaciones aplican los mismos criterios de la evaluación previa; la calificación oficial corresponde a Secretaría Académica.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Calificación por punto: actual y estimada</w:t>
      </w:r>
    </w:p>
    <w:p>
      <w:pPr>
        <w:keepNext/>
        <w:spacing w:before="40" w:after="80" w:line="240" w:lineRule="auto"/>
        <w:jc w:val="center"/>
      </w:pPr>
      <w:r>
        <w:rPr>
          <w:rFonts w:ascii="Century Gothic" w:hAnsi="Century Gothic" w:cs="Century Gothic" w:eastAsia="Century Gothic"/>
          <w:b/>
          <w:i w:val="0"/>
          <w:sz w:val="20"/>
        </w:rPr>
        <w:t>Cuadro 1. Calificación por punto antes y después de las propuestas</w:t>
      </w:r>
    </w:p>
    <w:tbl>
      <w:tblPr>
        <w:tblW w:type="auto" w:w="0"/>
        <w:jc w:val="center"/>
        <w:tblLayout w:type="fixed"/>
        <w:tblLook w:firstColumn="1" w:firstRow="1" w:lastColumn="0" w:lastRow="0" w:noHBand="0" w:noVBand="1" w:val="04A0"/>
      </w:tblPr>
      <w:tblGrid>
        <w:gridCol w:w="850"/>
        <w:gridCol w:w="4025"/>
        <w:gridCol w:w="1020"/>
        <w:gridCol w:w="1247"/>
        <w:gridCol w:w="1928"/>
      </w:tblGrid>
      <w:tr>
        <w:trPr>
          <w:tblHeader/>
        </w:trPr>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40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Título</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Actual</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Estimado</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Propuestas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Identificación del programa/carrera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29</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Antecedentes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97</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1, 2</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Justificación de la innovación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86</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96</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3, 4, 29</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4.1</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Fundamentos curriculares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4.2</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Referentes disciplinares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98</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6, 7</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4.3</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de estudios propuesto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97</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5, 8</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4.4</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Estructura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97</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7, 9</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4.6</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Estrategias de aprendizaje y de enseñanza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Integrar 4.5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4.7</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de aprendizajes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92</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4.8</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Prácticas preprofesionales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96</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10, 22</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Admisión, promoción y graduación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96</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11, 12, 13, 30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94</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14, 15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Interacción social y extensión universitaria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94</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16, 23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Organización del proceso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96</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17, 30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Material bibliográfico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92</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18, 30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educativos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Implementación del proyecto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95</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19, 20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97</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21</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96</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22 a 25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14</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Infraestructura y equipamiento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92</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15</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Mobiliario, equipamiento y materiales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90</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w:t>
            </w:r>
          </w:p>
        </w:tc>
        <w:tc>
          <w:tcPr>
            <w:tcW w:type="dxa" w:w="40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Disposiciones de ejecución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97</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24, 26, 27, 28</w:t>
            </w:r>
          </w:p>
        </w:tc>
      </w:tr>
    </w:tbl>
    <w:p>
      <w:pPr>
        <w:spacing w:before="40" w:after="200" w:line="240" w:lineRule="auto"/>
        <w:jc w:val="left"/>
      </w:pPr>
      <w:r>
        <w:rPr>
          <w:rFonts w:ascii="Century Gothic" w:hAnsi="Century Gothic" w:cs="Century Gothic" w:eastAsia="Century Gothic"/>
          <w:b w:val="0"/>
          <w:i w:val="0"/>
          <w:sz w:val="16"/>
        </w:rPr>
        <w:t>Fuente: evaluación del documento consolidado frente a la Resolución HCU N.º 032/2025. El punto 4.5 se evaluará al integrarse.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Resumen de propuestas para la decisión de la Comisión</w:t>
      </w:r>
    </w:p>
    <w:p>
      <w:pPr>
        <w:keepNext/>
        <w:spacing w:before="40" w:after="80" w:line="240" w:lineRule="auto"/>
        <w:jc w:val="center"/>
      </w:pPr>
      <w:r>
        <w:rPr>
          <w:rFonts w:ascii="Century Gothic" w:hAnsi="Century Gothic" w:cs="Century Gothic" w:eastAsia="Century Gothic"/>
          <w:b/>
          <w:i w:val="0"/>
          <w:sz w:val="20"/>
        </w:rPr>
        <w:t>Cuadro 2. Propuestas y decisión de la Comisión</w:t>
      </w:r>
    </w:p>
    <w:tbl>
      <w:tblPr>
        <w:tblW w:type="auto" w:w="0"/>
        <w:jc w:val="center"/>
        <w:tblLayout w:type="fixed"/>
        <w:tblLook w:firstColumn="1" w:firstRow="1" w:lastColumn="0" w:lastRow="0" w:noHBand="0" w:noVBand="1" w:val="04A0"/>
      </w:tblPr>
      <w:tblGrid>
        <w:gridCol w:w="680"/>
        <w:gridCol w:w="1304"/>
        <w:gridCol w:w="4252"/>
        <w:gridCol w:w="1134"/>
        <w:gridCol w:w="1701"/>
      </w:tblGrid>
      <w:tr>
        <w:trPr>
          <w:tblHeader/>
        </w:trPr>
        <w:tc>
          <w:tcPr>
            <w:tcW w:type="dxa" w:w="68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N.º</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Propuesta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Decisión</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Alineación de la misión y la visión con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Matriz de alineación del plan de desarrollo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Asignaturas del Plan 2013 que se transforman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3.5.2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Comparación con la oferta nacional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4.1.4 y 4.3.1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Modelos educativo, pedagógico y didáctico de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4.2.7</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Correspondencia del perfil con la misión de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4.4.1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Respaldo curricular del inglés técnico contable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4.3.5</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Justificación del régimen anual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4.4.2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Mapa de competencias con las 43 unidades de competencia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4.8.3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Horas mínimas de prácticas preprofesionales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5.3.2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Plazos de suspensión y reincorporación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Cuadro de modalidades de graduación con sigla, carga y créditos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5.3.5</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Seguimiento académico y acompañamiento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6.1.3 y 13.1.4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Horas de investigación en el Instituto y adscripción a las líneas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6.1.4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Metas de investigación del Instituto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Horas de interacción social del estudiante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17</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Número mínimo y máximo de estudiantes por paralelo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18</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9.1.4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Metas cuantitativas de actualización bibliográfica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 y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19</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Presupuesto plurianual de implementación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Monitoreo de la implementación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Instrumento de seguimiento a titulados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Prácticas Preprofesionales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Interacción Social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B</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13.1 y 16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Transición Curricular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13.1.4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Correcciones del Reglamento de Modalidades de Graduación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26</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Cronograma de implementación armonizado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27</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Plazo de graduación del Plan 2013 alineado al Reglamento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28</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Anexo</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Cuadro comparativo del nivel de innovación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29</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1.13 y 3.2.1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Citas normativas del procedimiento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Varios</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Correcciones de datos y referencias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C</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Decisión: Aprobada, Aprobada con cambios o Rechazada.</w:t>
      </w:r>
    </w:p>
    <w:p>
      <w:r>
        <w:br w:type="page"/>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II.</w:t>
        <w:tab/>
      </w:r>
      <w:r>
        <w:rPr>
          <w:rFonts w:ascii="Century Gothic" w:hAnsi="Century Gothic" w:cs="Century Gothic" w:eastAsia="Century Gothic"/>
          <w:b/>
          <w:i w:val="0"/>
          <w:sz w:val="24"/>
        </w:rPr>
        <w:t>Contenido para incorporar, por punto</w:t>
      </w:r>
    </w:p>
    <w:p>
      <w:pPr>
        <w:spacing w:before="0" w:after="200" w:line="240" w:lineRule="auto"/>
        <w:jc w:val="both"/>
      </w:pPr>
      <w:r>
        <w:rPr>
          <w:rFonts w:ascii="Century Gothic" w:hAnsi="Century Gothic" w:cs="Century Gothic" w:eastAsia="Century Gothic"/>
          <w:b w:val="0"/>
          <w:i w:val="0"/>
          <w:sz w:val="20"/>
        </w:rPr>
        <w:t>Cada propuesta indica en un recuadro dónde va el texto, qué acción se realiza, qué requisito atiende y qué decide la Comisión. Debajo del recuadro está el texto para copiar y pegar, con la numeración que tendría en el documento. Los espacios entre corchetes, como [N.º y fecha], deben completarse antes de pegar, y en «Cuadro [N]» se coloca el número que corresponda dentro del punto.</w:t>
      </w:r>
    </w:p>
    <w:p>
      <w:pPr>
        <w:keepNext/>
        <w:spacing w:before="120" w:after="200" w:line="240" w:lineRule="auto"/>
        <w:jc w:val="left"/>
      </w:pPr>
      <w:r>
        <w:rPr>
          <w:rFonts w:ascii="Century Gothic" w:hAnsi="Century Gothic" w:cs="Century Gothic" w:eastAsia="Century Gothic"/>
          <w:b/>
          <w:i w:val="0"/>
          <w:sz w:val="24"/>
        </w:rPr>
        <w:t>Propuesta 1. Alineación de la misión y la visión con la UMSA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2.2, después de 2.2.3 Valores y Principios.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un subpunto nuevo al final de 2.2.</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3, par. III; Art. 11, par. II; Art. 12, Antecedentes, criterio 1</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C: transcribir la misión y la visión vigentes del PEI-UMSA 2026-2030 en el párrafo indicado.</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el cuadro y completar la cita literal de la misión y la visión de la UMSA.</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2.2.4</w:t>
        <w:tab/>
      </w:r>
      <w:r>
        <w:rPr>
          <w:rFonts w:ascii="Century Gothic" w:hAnsi="Century Gothic" w:cs="Century Gothic" w:eastAsia="Century Gothic"/>
          <w:b/>
          <w:i w:val="0"/>
          <w:sz w:val="22"/>
        </w:rPr>
        <w:t>Alineación con la misión y la visión de la Universidad Mayor de San Andrés</w:t>
      </w:r>
    </w:p>
    <w:p>
      <w:pPr>
        <w:spacing w:before="0" w:after="200" w:line="240" w:lineRule="auto"/>
        <w:jc w:val="both"/>
      </w:pPr>
      <w:r>
        <w:rPr>
          <w:rFonts w:ascii="Century Gothic" w:hAnsi="Century Gothic" w:cs="Century Gothic" w:eastAsia="Century Gothic"/>
          <w:b w:val="0"/>
          <w:i w:val="0"/>
          <w:sz w:val="20"/>
        </w:rPr>
        <w:t>La misión y la visión de la Carrera se formulan en concordancia con la misión y la visión institucionales de la Universidad Mayor de San Andrés, establecidas en su Estatuto Orgánico y en el Plan Estratégico Institucional PEI-UMSA 2026-2030, y con el criterio de contexto sociocultural del Artículo 11 de la Resolución HCU N.º 032/2025, que exige formar profesionales responsables con su sociedad, emprendedores y constructores de una sociedad justa e inclusiva.</w:t>
      </w:r>
    </w:p>
    <w:p>
      <w:pPr>
        <w:spacing w:before="0" w:after="200" w:line="240" w:lineRule="auto"/>
        <w:jc w:val="both"/>
      </w:pPr>
      <w:r>
        <w:rPr>
          <w:rFonts w:ascii="Century Gothic" w:hAnsi="Century Gothic" w:cs="Century Gothic" w:eastAsia="Century Gothic"/>
          <w:b w:val="0"/>
          <w:i w:val="0"/>
          <w:sz w:val="20"/>
        </w:rPr>
        <w:t>Misión de la UMSA: [transcribir la misión vigente del PEI-UMSA 2026-2030]. Visión de la UMSA: [transcribir la visión vigente del PEI-UMSA 2026-2030].</w:t>
      </w:r>
    </w:p>
    <w:p>
      <w:pPr>
        <w:keepNext/>
        <w:spacing w:before="40" w:after="80" w:line="240" w:lineRule="auto"/>
        <w:jc w:val="center"/>
      </w:pPr>
      <w:r>
        <w:rPr>
          <w:rFonts w:ascii="Century Gothic" w:hAnsi="Century Gothic" w:cs="Century Gothic" w:eastAsia="Century Gothic"/>
          <w:b/>
          <w:i w:val="0"/>
          <w:sz w:val="20"/>
        </w:rPr>
        <w:t>Cuadro [N]. Alineación de la misión y la visión de la Carrera con la UMSA</w:t>
      </w:r>
    </w:p>
    <w:tbl>
      <w:tblPr>
        <w:tblW w:type="auto" w:w="0"/>
        <w:jc w:val="center"/>
        <w:tblLayout w:type="fixed"/>
        <w:tblLook w:firstColumn="1" w:firstRow="1" w:lastColumn="0" w:lastRow="0" w:noHBand="0" w:noVBand="1" w:val="04A0"/>
      </w:tblPr>
      <w:tblGrid>
        <w:gridCol w:w="2835"/>
        <w:gridCol w:w="3118"/>
        <w:gridCol w:w="3118"/>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Compromiso institucional de la UMSA</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Expresión en la visión y la misión de la Carrera</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Concreción en el perfil y el plan</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Formación de profesionales de grado y posgrado con excelencia académica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Visión: «formación integral de Contadores Públicos de excelencia académica, altamente competitivos e innovadores»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Perfil por competencias, 43 asignaturas, salidas intermedias y articulación con el postgrado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 ciencia, tecnología e innovación</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Misión: «Impulsar el pensamiento crítico, la innovación tecnológica y la adaptabilidad»</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Ocho líneas de investigación (6.2), 874 horas de investigación y práctica (8.4) y eje de transformación digital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Interacción social y extensión universitaria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Misión: «promover el interés público, la transparencia y el desarrollo sostenible de las organizaciones»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Consultoría social contable, prácticas preprofesionales y educación continua (4.8 y 7)</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Responsabilidad social y construcción de una sociedad justa e inclusiva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Valores: responsabilidad social, integridad y equidad</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Eje transversal de ética e interés público y asignatura CPA-406 Ética e Independencia Profesional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Emprendimiento y pertinencia con el desarrollo del país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Visión: «respondiendo con rigor ético a los desafíos del sector público y privado, la sociedad y el mercado laboral global»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Competencias de asesoría, finanzas corporativas, proyectos y sostenibilidad (CPA-405, ECO-301, CPA-506)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Calidad y acreditación</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Visión: «unidad académica líder a nivel nacional y referente a nivel internacional»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Reacreditación ante el CEUB y acreditación ARCU-SUR, conforme a 1.13 y 12</w:t>
            </w:r>
          </w:p>
        </w:tc>
      </w:tr>
    </w:tbl>
    <w:p>
      <w:pPr>
        <w:spacing w:before="40" w:after="200" w:line="240" w:lineRule="auto"/>
        <w:jc w:val="left"/>
      </w:pPr>
      <w:r>
        <w:rPr>
          <w:rFonts w:ascii="Century Gothic" w:hAnsi="Century Gothic" w:cs="Century Gothic" w:eastAsia="Century Gothic"/>
          <w:b w:val="0"/>
          <w:i w:val="0"/>
          <w:sz w:val="16"/>
        </w:rPr>
        <w:t>Fuente: Estatuto Orgánico de la UMSA, PEI-UMSA 2026-2030, Resolución HCU N.º 032/2025 y punto 2.2.</w:t>
      </w:r>
    </w:p>
    <w:p>
      <w:pPr>
        <w:keepNext/>
        <w:spacing w:before="120" w:after="200" w:line="240" w:lineRule="auto"/>
        <w:jc w:val="left"/>
      </w:pPr>
      <w:r>
        <w:rPr>
          <w:rFonts w:ascii="Century Gothic" w:hAnsi="Century Gothic" w:cs="Century Gothic" w:eastAsia="Century Gothic"/>
          <w:b/>
          <w:i w:val="0"/>
          <w:sz w:val="24"/>
        </w:rPr>
        <w:t>Propuesta 2. Matriz de alineación del plan de desarrollo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2.3 Plan de desarrollo de la carrera.</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final de 2.3, después del párrafo existente.</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Antecedentes, criterio 2</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los indicadores y las metas.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Validar las metas a 2030 o ajustarlas a las del PEI facultativo aprobado por la Resolución HCF N.º 1013/2026.</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Los seis ejes estratégicos de la Carrera, descritos en 2.4.1, se articulan con las cuatro áreas estratégicas del PEI de la Facultad de Ciencias Económicas y Financieras 2026-2030, que a su vez se elaboró en concordancia vertical con el PEI-UMSA 2026-2030. El Rediseño Curricular es el instrumento con el que la Carrera cumple sus compromisos en el área de formación profesional:</w:t>
      </w:r>
    </w:p>
    <w:p>
      <w:pPr>
        <w:keepNext/>
        <w:spacing w:before="40" w:after="80" w:line="240" w:lineRule="auto"/>
        <w:jc w:val="center"/>
      </w:pPr>
      <w:r>
        <w:rPr>
          <w:rFonts w:ascii="Century Gothic" w:hAnsi="Century Gothic" w:cs="Century Gothic" w:eastAsia="Century Gothic"/>
          <w:b/>
          <w:i w:val="0"/>
          <w:sz w:val="20"/>
        </w:rPr>
        <w:t>Cuadro [N]. Alineación de los ejes de la Carrera con el PEI facultativo y el PEI-UMSA</w:t>
      </w:r>
    </w:p>
    <w:tbl>
      <w:tblPr>
        <w:tblW w:type="auto" w:w="0"/>
        <w:jc w:val="center"/>
        <w:tblLayout w:type="fixed"/>
        <w:tblLook w:firstColumn="1" w:firstRow="1" w:lastColumn="0" w:lastRow="0" w:noHBand="0" w:noVBand="1" w:val="04A0"/>
      </w:tblPr>
      <w:tblGrid>
        <w:gridCol w:w="2154"/>
        <w:gridCol w:w="2154"/>
        <w:gridCol w:w="2381"/>
        <w:gridCol w:w="2381"/>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 de la Carrera</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 estratégica del PEI facultativo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Indicador</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Meta 2030</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Calidad y pertinencia curricular</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Formación profesional de grado y posgrado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rediseñado aprobado e implementado año por año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Cinco años implementados y reacreditación ante el CEUB</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Transformación digital e innovación</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 ciencia, tecnología e innovación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Asignaturas con software profesional en laboratorio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Todas las asignaturas del eje digital con práctica en laboratorio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Ética, responsabilidad pública y gobernanza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Formación profesional de grado y posgrado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Estudiantes evaluados en los principios del Código del IESBA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100 % de los estudiantes de cuarto año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 y pensamiento crítico</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 ciencia, tecnología e innovación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Titulados por tesis, proyecto de grado o trabajo dirigido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 menos 30 % de los titulados</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Internacionalización y movilidad global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Gestión institucional de calidad</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Convenios de movilidad y acreditación internacional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Acreditación ARCU-SUR en proceso y dos convenios vigentes</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Vinculación práctica e interacción social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Interacción social y extensión universitaria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Estudiantes con prácticas preprofesionales e interacción social acreditadas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100 % de los egresados del Rediseño Curricular</w:t>
            </w:r>
          </w:p>
        </w:tc>
      </w:tr>
    </w:tbl>
    <w:p>
      <w:pPr>
        <w:spacing w:before="40" w:after="200" w:line="240" w:lineRule="auto"/>
        <w:jc w:val="left"/>
      </w:pPr>
      <w:r>
        <w:rPr>
          <w:rFonts w:ascii="Century Gothic" w:hAnsi="Century Gothic" w:cs="Century Gothic" w:eastAsia="Century Gothic"/>
          <w:b w:val="0"/>
          <w:i w:val="0"/>
          <w:sz w:val="16"/>
        </w:rPr>
        <w:t>Fuente: Resolución HCF N.º 1013/2026, PEI-UMSA 2026-2030 y puntos 2.4.1, 4.8, 6 y 7.</w:t>
      </w:r>
    </w:p>
    <w:p>
      <w:pPr>
        <w:keepNext/>
        <w:spacing w:before="120" w:after="200" w:line="240" w:lineRule="auto"/>
        <w:jc w:val="left"/>
      </w:pPr>
      <w:r>
        <w:rPr>
          <w:rFonts w:ascii="Century Gothic" w:hAnsi="Century Gothic" w:cs="Century Gothic" w:eastAsia="Century Gothic"/>
          <w:b/>
          <w:i w:val="0"/>
          <w:sz w:val="24"/>
        </w:rPr>
        <w:t>Propuesta 3. Asignaturas del Plan 2013 que se transforman</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3.1, después de 3.1.3 Resultados cualitativos.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un subpunto nuevo al final de 3.1.</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Justificación, criterio 1</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 datos del Cuadro de equivalencias de 16.1.3.</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3.1.4</w:t>
        <w:tab/>
      </w:r>
      <w:r>
        <w:rPr>
          <w:rFonts w:ascii="Century Gothic" w:hAnsi="Century Gothic" w:cs="Century Gothic" w:eastAsia="Century Gothic"/>
          <w:b/>
          <w:i w:val="0"/>
          <w:sz w:val="22"/>
        </w:rPr>
        <w:t>Asignaturas del Plan 2013 que se suprimen, transforman o reubican</w:t>
      </w:r>
    </w:p>
    <w:p>
      <w:pPr>
        <w:spacing w:before="0" w:after="200" w:line="240" w:lineRule="auto"/>
        <w:jc w:val="both"/>
      </w:pPr>
      <w:r>
        <w:rPr>
          <w:rFonts w:ascii="Century Gothic" w:hAnsi="Century Gothic" w:cs="Century Gothic" w:eastAsia="Century Gothic"/>
          <w:b w:val="0"/>
          <w:i w:val="0"/>
          <w:sz w:val="20"/>
        </w:rPr>
        <w:t>El Rediseño Curricular conserva el número de asignaturas, 43, y no suprime ninguna sin equivalente: toda asignatura del Plan 2013 tiene una asignatura que la reemplaza, conforme al punto 16.1.3. Las que dejan de existir con su denominación anterior, se transforman o cambian de año son las siguientes:</w:t>
      </w:r>
    </w:p>
    <w:p>
      <w:pPr>
        <w:keepNext/>
        <w:spacing w:before="40" w:after="80" w:line="240" w:lineRule="auto"/>
        <w:jc w:val="center"/>
      </w:pPr>
      <w:r>
        <w:rPr>
          <w:rFonts w:ascii="Century Gothic" w:hAnsi="Century Gothic" w:cs="Century Gothic" w:eastAsia="Century Gothic"/>
          <w:b/>
          <w:i w:val="0"/>
          <w:sz w:val="20"/>
        </w:rPr>
        <w:t>Cuadro [N]. Asignaturas del Plan 2013 que se transforman en el Rediseño Curricular</w:t>
      </w:r>
    </w:p>
    <w:tbl>
      <w:tblPr>
        <w:tblW w:type="auto" w:w="0"/>
        <w:jc w:val="center"/>
        <w:tblLayout w:type="fixed"/>
        <w:tblLook w:firstColumn="1" w:firstRow="1" w:lastColumn="0" w:lastRow="0" w:noHBand="0" w:noVBand="1" w:val="04A0"/>
      </w:tblPr>
      <w:tblGrid>
        <w:gridCol w:w="3118"/>
        <w:gridCol w:w="2835"/>
        <w:gridCol w:w="3118"/>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Asignatura del Plan 2013</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Cambio</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Asignatura del Rediseño Curricular</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CPA-102 Métodos y Técnicas de Investigación, 1.° año, semestral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Cambia de año y pasa a ser anual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CPA-204 Métodos y Técnicas de Investigación, 2.° año</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CPA-305 Sistemas de Información, 3.° año, semestral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suprime; su contenido se actualiza y se adelanta a primer año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CPA-102 Tecnologías de Información y Herramientas Digitales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CPA-404 Sistemas de Contabilidad Automatizados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transforma con sistemas de gestión empresarial y análisis de datos y pasa a tercer año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CPA-305 Sistemas Contables ERP y Análisis de Datos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MAT-201 Álgebra y Programación Lineal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Cambia de enfoque hacia la modelación aplicada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MAT-201 Álgebra Lineal y Modelación para Negocios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MAT-302 Matemáticas Actuariales, 3.° año, semestral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Cambia de año, de sigla y de denominación</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MAT-401 Matemáticas Actuariales y Técnicas Financieras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CPA-405 Diseño e Implantación de Sistemas de Contabilidad</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Cambia de sigla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CPA-404 Diseño e Implantación de Sistemas de Contabilidad</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CPA-406 Finanzas y Finanzas Corporativas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Cambia de sigla y de denominación</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CPA-405 Finanzas Corporativas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CPA-408 Auditoría Interna, Control Interno y Gestión de Riesgos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Incorpora el gobierno corporativo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CPA-408 Auditoría Interna, Control Interno, Gestión de Riesgos y Gobierno Corporativo</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CPA-503 a CPA-509, gabinetes de auditoría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Dejan de ser gabinetes, salvo CPA-502, y se convierten en asignaturas anuales de auditoría especializada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CPA-503 a CPA-509 del Rediseño Curricular</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CPA-505 Gabinete de Auditoría de Sistemas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transforma con ciberseguridad y tecnologías emergentes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CPA-505 Auditoría Digital, Ciberseguridad y Tecnologías Emergentes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CPA-506 Gabinete de Auditoría Ambiental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amplía a los reportes y el aseguramiento de sostenibilidad</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CPA-506 Reportes y Aseguramiento de Sostenibilidad y Auditoría Ambiental</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CPA-507 Gabinete de Auditoría de Proyectos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amplía a las entidades sin fines de lucro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CPA-507 Auditoría de Entidades Sin Fines de Lucro – Proyectos Privados y Públicos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CPA-510 Ética Profesional, 5.° año, semestral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adelanta a cuarto año e incorpora la independencia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CPA-406 Ética e Independencia Profesional</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CPA-511 Seminario de Grado, 5.° año, semestral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 transforma en taller anual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CPA-510 Taller de Grado</w:t>
            </w:r>
          </w:p>
        </w:tc>
      </w:tr>
    </w:tbl>
    <w:p>
      <w:pPr>
        <w:spacing w:before="40" w:after="200" w:line="240" w:lineRule="auto"/>
        <w:jc w:val="left"/>
      </w:pPr>
      <w:r>
        <w:rPr>
          <w:rFonts w:ascii="Century Gothic" w:hAnsi="Century Gothic" w:cs="Century Gothic" w:eastAsia="Century Gothic"/>
          <w:b w:val="0"/>
          <w:i w:val="0"/>
          <w:sz w:val="16"/>
        </w:rPr>
        <w:t>Fuente: Plan de Estudios 2013 y punto 16.1.3.</w:t>
      </w:r>
    </w:p>
    <w:p>
      <w:pPr>
        <w:spacing w:before="0" w:after="200" w:line="240" w:lineRule="auto"/>
        <w:jc w:val="both"/>
      </w:pPr>
      <w:r>
        <w:rPr>
          <w:rFonts w:ascii="Century Gothic" w:hAnsi="Century Gothic" w:cs="Century Gothic" w:eastAsia="Century Gothic"/>
          <w:b w:val="0"/>
          <w:i w:val="0"/>
          <w:sz w:val="20"/>
        </w:rPr>
        <w:t>Además, todas las asignaturas semestrales del Plan 2013, identificadas como PS o SS en el Cuadro 2, pasan a ser anuales, conforme a la justificación del régimen anual del punto 4.3.5.</w:t>
      </w:r>
    </w:p>
    <w:p>
      <w:pPr>
        <w:keepNext/>
        <w:spacing w:before="120" w:after="200" w:line="240" w:lineRule="auto"/>
        <w:jc w:val="left"/>
      </w:pPr>
      <w:r>
        <w:rPr>
          <w:rFonts w:ascii="Century Gothic" w:hAnsi="Century Gothic" w:cs="Century Gothic" w:eastAsia="Century Gothic"/>
          <w:b/>
          <w:i w:val="0"/>
          <w:sz w:val="24"/>
        </w:rPr>
        <w:t>Propuesta 4. Comparación con la oferta nacional</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3.5.2 Oferta nacional similar.</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después del Cuadro 27 de 3.5.2.</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Justificación, criterio 4</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C: completar los datos de cada universidad con sus planes de estudio vigentes.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Encargar la recolección de los datos y completar el cuadro.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Para situar el Rediseño Curricular frente a la oferta nacional, se comparan la duración, la carga horaria, las salidas intermedias y los componentes de formación práctica y tecnológica de los programas de Contaduría Pública de universidades públicas y privadas:</w:t>
      </w:r>
    </w:p>
    <w:p>
      <w:pPr>
        <w:keepNext/>
        <w:spacing w:before="40" w:after="80" w:line="240" w:lineRule="auto"/>
        <w:jc w:val="center"/>
      </w:pPr>
      <w:r>
        <w:rPr>
          <w:rFonts w:ascii="Century Gothic" w:hAnsi="Century Gothic" w:cs="Century Gothic" w:eastAsia="Century Gothic"/>
          <w:b/>
          <w:i w:val="0"/>
          <w:sz w:val="20"/>
        </w:rPr>
        <w:t>Cuadro [N]. Comparación curricular con la oferta nacional</w:t>
      </w:r>
    </w:p>
    <w:tbl>
      <w:tblPr>
        <w:tblW w:type="auto" w:w="0"/>
        <w:jc w:val="center"/>
        <w:tblLayout w:type="fixed"/>
        <w:tblLook w:firstColumn="1" w:firstRow="1" w:lastColumn="0" w:lastRow="0" w:noHBand="0" w:noVBand="1" w:val="04A0"/>
      </w:tblPr>
      <w:tblGrid>
        <w:gridCol w:w="1984"/>
        <w:gridCol w:w="1474"/>
        <w:gridCol w:w="1587"/>
        <w:gridCol w:w="1814"/>
        <w:gridCol w:w="2211"/>
      </w:tblGrid>
      <w:tr>
        <w:trPr>
          <w:tblHeader/>
        </w:trPr>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Universidad</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Duración y régimen</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Horas o créditos</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Salidas intermedias</w:t>
            </w:r>
          </w:p>
        </w:tc>
        <w:tc>
          <w:tcPr>
            <w:tcW w:type="dxa" w:w="22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Prácticas, tecnología e inglés</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UMSA, Rediseño Curricular</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5 años, anual</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6.000 horas, 300 créditos</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Técnico Universitario Medio y Técnico Superior</w:t>
            </w:r>
          </w:p>
        </w:tc>
        <w:tc>
          <w:tcPr>
            <w:tcW w:type="dxa" w:w="22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Prácticas desde 3.° año; eje digital en cinco asignaturas; inglés técnico</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[Universidad pública 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22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[Universidad pública 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22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[Universidad pública 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22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[Universidad privada 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22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[Universidad privada 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c>
          <w:tcPr>
            <w:tcW w:type="dxa" w:w="22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 ]</w:t>
            </w:r>
          </w:p>
        </w:tc>
      </w:tr>
    </w:tbl>
    <w:p>
      <w:pPr>
        <w:spacing w:before="40" w:after="200" w:line="240" w:lineRule="auto"/>
        <w:jc w:val="left"/>
      </w:pPr>
      <w:r>
        <w:rPr>
          <w:rFonts w:ascii="Century Gothic" w:hAnsi="Century Gothic" w:cs="Century Gothic" w:eastAsia="Century Gothic"/>
          <w:b w:val="0"/>
          <w:i w:val="0"/>
          <w:sz w:val="16"/>
        </w:rPr>
        <w:t>Fuente: planes de estudio vigentes de cada universidad.</w:t>
      </w:r>
    </w:p>
    <w:p>
      <w:pPr>
        <w:keepNext/>
        <w:spacing w:before="120" w:after="200" w:line="240" w:lineRule="auto"/>
        <w:jc w:val="left"/>
      </w:pPr>
      <w:r>
        <w:rPr>
          <w:rFonts w:ascii="Century Gothic" w:hAnsi="Century Gothic" w:cs="Century Gothic" w:eastAsia="Century Gothic"/>
          <w:b/>
          <w:i w:val="0"/>
          <w:sz w:val="24"/>
        </w:rPr>
        <w:t>Propuesta 5. Modelos educativo, pedagógico y didáctico de la UMSA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4.1.4 Fundamentos educativos y punto 4.3.1 Modelo curricular.</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inicio de 4.1.4 y, como párrafo final, en 4.3.1.</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3, par. III; Art. 8, num. 4.1; Art. 12, Fundamentos y Plan de estudios propuesto, criterio 1</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C: contrastar con el texto de la Resolución HCU N.º 057/2025 y citar sus apartados.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y verificar las citas de la Resolución HCU N.º 057/2025. Eliminar además en 4.1 los textos repetidos señalados en la evaluación: el párrafo del 46 %, la tabla de las IES copiada de 3.5.4 y los valores repetidos de 2.2.3.</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80" w:line="240" w:lineRule="auto"/>
        <w:jc w:val="both"/>
      </w:pPr>
      <w:r>
        <w:rPr>
          <w:rFonts w:ascii="Century Gothic" w:hAnsi="Century Gothic" w:cs="Century Gothic" w:eastAsia="Century Gothic"/>
          <w:b/>
          <w:i w:val="0"/>
          <w:sz w:val="20"/>
        </w:rPr>
        <w:t>Para 4.1.4, como primer párrafo:</w:t>
      </w:r>
    </w:p>
    <w:p>
      <w:pPr>
        <w:spacing w:before="0" w:after="200" w:line="240" w:lineRule="auto"/>
        <w:jc w:val="both"/>
      </w:pPr>
      <w:r>
        <w:rPr>
          <w:rFonts w:ascii="Century Gothic" w:hAnsi="Century Gothic" w:cs="Century Gothic" w:eastAsia="Century Gothic"/>
          <w:b w:val="0"/>
          <w:i w:val="0"/>
          <w:sz w:val="20"/>
        </w:rPr>
        <w:t>Los fundamentos educativos del Rediseño Curricular se formulan en concordancia con los Modelos Educativo, Académico, Pedagógico, Curricular y Didáctico de la UMSA, aprobados mediante la Resolución HCU N.º 057/2025, que orientan la formación por competencias en todas las carreras de la Universidad. En ese marco, la Carrera adopta:</w:t>
      </w:r>
    </w:p>
    <w:p>
      <w:pPr>
        <w:numPr>
          <w:ilvl w:val="0"/>
          <w:numId w:val="902"/>
        </w:numPr>
        <w:spacing w:before="0" w:after="160" w:line="240" w:lineRule="auto"/>
        <w:jc w:val="both"/>
      </w:pPr>
      <w:r>
        <w:rPr>
          <w:rFonts w:ascii="Century Gothic" w:hAnsi="Century Gothic" w:cs="Century Gothic" w:eastAsia="Century Gothic"/>
          <w:b/>
          <w:i w:val="0"/>
          <w:sz w:val="20"/>
        </w:rPr>
        <w:t>Modelo curricular:</w:t>
      </w:r>
      <w:r>
        <w:rPr>
          <w:rFonts w:ascii="Century Gothic" w:hAnsi="Century Gothic" w:cs="Century Gothic" w:eastAsia="Century Gothic"/>
          <w:b w:val="0"/>
          <w:i w:val="0"/>
          <w:sz w:val="20"/>
        </w:rPr>
        <w:t xml:space="preserve"> por competencias, con enfoque socioformativo y de pensamiento complejo, organizado en unidades y elementos de competencia por asignatura, conforme al Artículo 12 de la Resolución HCU N.º 032/2025.</w:t>
      </w:r>
    </w:p>
    <w:p>
      <w:pPr>
        <w:numPr>
          <w:ilvl w:val="0"/>
          <w:numId w:val="902"/>
        </w:numPr>
        <w:spacing w:before="0" w:after="160" w:line="240" w:lineRule="auto"/>
        <w:jc w:val="both"/>
      </w:pPr>
      <w:r>
        <w:rPr>
          <w:rFonts w:ascii="Century Gothic" w:hAnsi="Century Gothic" w:cs="Century Gothic" w:eastAsia="Century Gothic"/>
          <w:b/>
          <w:i w:val="0"/>
          <w:sz w:val="20"/>
        </w:rPr>
        <w:t>Modelo pedagógico:</w:t>
      </w:r>
      <w:r>
        <w:rPr>
          <w:rFonts w:ascii="Century Gothic" w:hAnsi="Century Gothic" w:cs="Century Gothic" w:eastAsia="Century Gothic"/>
          <w:b w:val="0"/>
          <w:i w:val="0"/>
          <w:sz w:val="20"/>
        </w:rPr>
        <w:t xml:space="preserve"> centrado en el estudiante como constructor activo de su aprendizaje y en el docente como mediador, con aprendizaje autónomo y colaborativo, y con la ética y el interés público como ejes transversales.</w:t>
      </w:r>
    </w:p>
    <w:p>
      <w:pPr>
        <w:numPr>
          <w:ilvl w:val="0"/>
          <w:numId w:val="902"/>
        </w:numPr>
        <w:spacing w:before="0" w:after="200" w:line="240" w:lineRule="auto"/>
        <w:jc w:val="both"/>
      </w:pPr>
      <w:r>
        <w:rPr>
          <w:rFonts w:ascii="Century Gothic" w:hAnsi="Century Gothic" w:cs="Century Gothic" w:eastAsia="Century Gothic"/>
          <w:b/>
          <w:i w:val="0"/>
          <w:sz w:val="20"/>
        </w:rPr>
        <w:t>Modelo didáctico:</w:t>
      </w:r>
      <w:r>
        <w:rPr>
          <w:rFonts w:ascii="Century Gothic" w:hAnsi="Century Gothic" w:cs="Century Gothic" w:eastAsia="Century Gothic"/>
          <w:b w:val="0"/>
          <w:i w:val="0"/>
          <w:sz w:val="20"/>
        </w:rPr>
        <w:t xml:space="preserve"> aprendizaje basado en problemas y en proyectos, estudio de casos reales del contexto boliviano, aula invertida, simulación de firmas de auditoría y consultoría en gabinetes y laboratorios, y prácticas preprofesionales, con evaluación por evidencias de desempeño, de producto y de conocimiento, descritas en los puntos 4.6 y 4.7.</w:t>
      </w:r>
    </w:p>
    <w:p>
      <w:pPr>
        <w:spacing w:before="0" w:after="80" w:line="240" w:lineRule="auto"/>
        <w:jc w:val="both"/>
      </w:pPr>
      <w:r>
        <w:rPr>
          <w:rFonts w:ascii="Century Gothic" w:hAnsi="Century Gothic" w:cs="Century Gothic" w:eastAsia="Century Gothic"/>
          <w:b/>
          <w:i w:val="0"/>
          <w:sz w:val="20"/>
        </w:rPr>
        <w:t>Para 4.3.1, como párrafo final:</w:t>
      </w:r>
    </w:p>
    <w:p>
      <w:pPr>
        <w:spacing w:before="0" w:after="200" w:line="240" w:lineRule="auto"/>
        <w:jc w:val="both"/>
      </w:pPr>
      <w:r>
        <w:rPr>
          <w:rFonts w:ascii="Century Gothic" w:hAnsi="Century Gothic" w:cs="Century Gothic" w:eastAsia="Century Gothic"/>
          <w:b w:val="0"/>
          <w:i w:val="0"/>
          <w:sz w:val="20"/>
        </w:rPr>
        <w:t>El modelo curricular del Rediseño Curricular es coherente con los Modelos Educativo, Académico, Pedagógico, Curricular y Didáctico de la UMSA, aprobados mediante la Resolución HCU N.º 057/2025: forma por competencias, organiza el plan en unidades y elementos de competencia, distingue las horas presenciales y no presenciales con su conversión a créditos y monitorea la implementación de manera continua, conforme al punto 12.</w:t>
      </w:r>
    </w:p>
    <w:p>
      <w:pPr>
        <w:keepNext/>
        <w:spacing w:before="120" w:after="200" w:line="240" w:lineRule="auto"/>
        <w:jc w:val="left"/>
      </w:pPr>
      <w:r>
        <w:rPr>
          <w:rFonts w:ascii="Century Gothic" w:hAnsi="Century Gothic" w:cs="Century Gothic" w:eastAsia="Century Gothic"/>
          <w:b/>
          <w:i w:val="0"/>
          <w:sz w:val="24"/>
        </w:rPr>
        <w:t>Propuesta 6. Correspondencia del perfil con la misión de la UMSA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4.2.7 Perfil profesional.</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final de 4.2.7, después de los atributos del egresado.</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Referentes disciplinares, criterio 5; Art. 11, par. II</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El perfil profesional es pertinente con la misión de la UMSA porque cada atributo del egresado responde a uno de sus compromisos institucionales y se desarrolla en asignaturas o actividades concretas del plan:</w:t>
      </w:r>
    </w:p>
    <w:p>
      <w:pPr>
        <w:keepNext/>
        <w:spacing w:before="40" w:after="80" w:line="240" w:lineRule="auto"/>
        <w:jc w:val="center"/>
      </w:pPr>
      <w:r>
        <w:rPr>
          <w:rFonts w:ascii="Century Gothic" w:hAnsi="Century Gothic" w:cs="Century Gothic" w:eastAsia="Century Gothic"/>
          <w:b/>
          <w:i w:val="0"/>
          <w:sz w:val="20"/>
        </w:rPr>
        <w:t>Cuadro [N]. Correspondencia del perfil profesional con la misión de la UMSA</w:t>
      </w:r>
    </w:p>
    <w:tbl>
      <w:tblPr>
        <w:tblW w:type="auto" w:w="0"/>
        <w:jc w:val="center"/>
        <w:tblLayout w:type="fixed"/>
        <w:tblLook w:firstColumn="1" w:firstRow="1" w:lastColumn="0" w:lastRow="0" w:noHBand="0" w:noVBand="1" w:val="04A0"/>
      </w:tblPr>
      <w:tblGrid>
        <w:gridCol w:w="2551"/>
        <w:gridCol w:w="3402"/>
        <w:gridCol w:w="3118"/>
      </w:tblGrid>
      <w:tr>
        <w:trPr>
          <w:tblHeader/>
        </w:trPr>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Compromiso de la UMSA</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Atributo del perfil</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Dónde se desarrolla</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Excelencia académica y formación científica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Dominio de los marcos de información financiera y de las normas de auditoría y aseguramiento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Área de Información Financiera y área de Servicios de Aseguramiento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Investigación e innovación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Juicio profesional fundado en el pensamiento crítico y la investigación aplicada; destreza en analítica e inteligencia artificial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CPA-204, CPA-510, CPA-305, CPA-505 y horas de investigación y práctica del punto 8.4</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Responsabilidad social e interés público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Compromiso con la integridad, la objetividad y la confidencialidad conforme al Código del IESBA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CPA-406 y eje transversal de ética</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Sociedad justa e inclusiva y desarrollo sostenible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Competencia para elaborar y auditar informes de sostenibilidad; vocación de servicio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CPA-506, CPA-504 y consultoría social contable del punto 7</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Emprendimiento y vínculo con el medio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Finanzas corporativas, valoración de proyectos y asesoría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CPA-405, ECO-301 y prácticas preprofesionales del punto 4.8</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Internacionalización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Comunicación en español y en inglés técnico contable</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Requisito de inglés técnico de la Propuesta 7 y bibliografía en inglés en los planes de asignatura</w:t>
            </w:r>
          </w:p>
        </w:tc>
      </w:tr>
    </w:tbl>
    <w:p>
      <w:pPr>
        <w:spacing w:before="40" w:after="200" w:line="240" w:lineRule="auto"/>
        <w:jc w:val="left"/>
      </w:pPr>
      <w:r>
        <w:rPr>
          <w:rFonts w:ascii="Century Gothic" w:hAnsi="Century Gothic" w:cs="Century Gothic" w:eastAsia="Century Gothic"/>
          <w:b w:val="0"/>
          <w:i w:val="0"/>
          <w:sz w:val="16"/>
        </w:rPr>
        <w:t>Fuente: puntos 2.2.4, 4.2.7 y 4.4.</w:t>
      </w:r>
    </w:p>
    <w:p>
      <w:pPr>
        <w:keepNext/>
        <w:spacing w:before="120" w:after="200" w:line="240" w:lineRule="auto"/>
        <w:jc w:val="left"/>
      </w:pPr>
      <w:r>
        <w:rPr>
          <w:rFonts w:ascii="Century Gothic" w:hAnsi="Century Gothic" w:cs="Century Gothic" w:eastAsia="Century Gothic"/>
          <w:b/>
          <w:i w:val="0"/>
          <w:sz w:val="24"/>
        </w:rPr>
        <w:t>Propuesta 7. Respaldo curricular del inglés técnico contable</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4.4.1, Cuadro 2 Ejes transversales.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la fila «Inglés técnico contable (</w:t>
            </w:r>
            <w:r>
              <w:rPr>
                <w:rFonts w:ascii="Century Gothic" w:hAnsi="Century Gothic" w:cs="Century Gothic" w:eastAsia="Century Gothic"/>
                <w:b w:val="0"/>
                <w:i/>
                <w:sz w:val="20"/>
              </w:rPr>
              <w:t>)» del Cuadro 2 de 4.4.1 y la nota «(</w:t>
            </w:r>
            <w:r>
              <w:rPr>
                <w:rFonts w:ascii="Century Gothic" w:hAnsi="Century Gothic" w:cs="Century Gothic" w:eastAsia="Century Gothic"/>
                <w:b w:val="0"/>
                <w:i w:val="0"/>
                <w:sz w:val="20"/>
              </w:rPr>
              <w:t>) Materia extracurricular propuesta».</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11, par. II; coherencia del perfil (4.2.7)</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fija el nivel exigido y la instancia que certifica.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el nivel A2 del Marco Común Europeo de Referencia y la certificación por el Instituto de Idiomas, o ajustar.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80" w:line="240" w:lineRule="auto"/>
        <w:jc w:val="both"/>
      </w:pPr>
      <w:r>
        <w:rPr>
          <w:rFonts w:ascii="Century Gothic" w:hAnsi="Century Gothic" w:cs="Century Gothic" w:eastAsia="Century Gothic"/>
          <w:b/>
          <w:i w:val="0"/>
          <w:sz w:val="20"/>
        </w:rPr>
        <w:t>Nueva fila del Cuadro 2:</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 en que se concreta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Inglés técnico contable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Lecturas, casos y normas internacionales en inglés en las asignaturas de 3.° a 5.° año, y requisito de egreso de inglés técnico, nivel A2 del Marco Común Europeo de Referencia, acreditado mediante certificación del Instituto de Idiomas de la UMSA o de una institución reconocida</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Nueva nota al pie del cuadro, en lugar de «(*) Materia extracurricular propuesta»:</w:t>
      </w:r>
    </w:p>
    <w:p>
      <w:pPr>
        <w:spacing w:before="0" w:after="200" w:line="240" w:lineRule="auto"/>
        <w:jc w:val="both"/>
      </w:pPr>
      <w:r>
        <w:rPr>
          <w:rFonts w:ascii="Century Gothic" w:hAnsi="Century Gothic" w:cs="Century Gothic" w:eastAsia="Century Gothic"/>
          <w:b w:val="0"/>
          <w:i w:val="0"/>
          <w:sz w:val="20"/>
        </w:rPr>
        <w:t>El inglés técnico contable no suma horas a las 6.000 horas académicas del plan, que son el máximo del Artículo 28 del Reglamento General de Títulos y Grados. Se acredita como requisito de egreso antes de la emisión del certificado de conclusión de estudios.</w:t>
      </w:r>
    </w:p>
    <w:p>
      <w:pPr>
        <w:keepNext/>
        <w:spacing w:before="120" w:after="200" w:line="240" w:lineRule="auto"/>
        <w:jc w:val="left"/>
      </w:pPr>
      <w:r>
        <w:rPr>
          <w:rFonts w:ascii="Century Gothic" w:hAnsi="Century Gothic" w:cs="Century Gothic" w:eastAsia="Century Gothic"/>
          <w:b/>
          <w:i w:val="0"/>
          <w:sz w:val="24"/>
        </w:rPr>
        <w:t>Propuesta 8. Justificación del régimen anual</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4.3.5 Duración de la carrera en años o semestres.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después del primer párrafo de 4.3.5.</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Estructura curricular, criterio 6</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El régimen anual guarda correspondencia con la competencia profesional por tres razones. Primero, las unidades de competencia de las asignaturas del Área Contable y de Auditoría integran procesos completos, como el ciclo contable, la preparación de estados financieros o la ejecución de un encargo de auditoría, que requieren 40 semanas para desarrollar sus elementos de competencia con práctica y evaluación por evidencias. Segundo, el 48,9 % de los estudiantes trabaja de forma paralela a sus estudios, y el régimen anual les permite sostener una carga estable durante toda la gestión. Tercero, el régimen anual permite que las prácticas preprofesionales, la investigación formativa y la interacción social se desarrollen a lo largo de toda la gestión y se articulen con varias asignaturas. Por ello, las asignaturas semestrales del Plan 2013 pasan a ser anuales.</w:t>
      </w:r>
    </w:p>
    <w:p>
      <w:pPr>
        <w:keepNext/>
        <w:spacing w:before="120" w:after="200" w:line="240" w:lineRule="auto"/>
        <w:jc w:val="left"/>
      </w:pPr>
      <w:r>
        <w:rPr>
          <w:rFonts w:ascii="Century Gothic" w:hAnsi="Century Gothic" w:cs="Century Gothic" w:eastAsia="Century Gothic"/>
          <w:b/>
          <w:i w:val="0"/>
          <w:sz w:val="24"/>
        </w:rPr>
        <w:t>Propuesta 9. Mapa de competencias con las 43 unidades de competencia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4.4.2 Mapa de competencia.</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final de 4.4.2, después del Cuadro 3.</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8, num. 4.4; Art. 12, Estructura curricular, criterio 2</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 unidades de competencia tomadas de los 43 planes de asignatura del punto 4.5. Si se actualiza algún plan, actualizar su fila.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y verificar que coincidan con la versión final del punto 4.5.</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La competencia global del perfil se despliega en las competencias de cada área y estas, a su vez, en la unidad de competencia de cada asignatura. Los elementos de competencia, con sus criterios y evidencias de desempeño, se detallan en los planes de asignatura del punto 4.5.</w:t>
      </w:r>
    </w:p>
    <w:p>
      <w:pPr>
        <w:keepNext/>
        <w:spacing w:before="40" w:after="80" w:line="240" w:lineRule="auto"/>
        <w:jc w:val="center"/>
      </w:pPr>
      <w:r>
        <w:rPr>
          <w:rFonts w:ascii="Century Gothic" w:hAnsi="Century Gothic" w:cs="Century Gothic" w:eastAsia="Century Gothic"/>
          <w:b/>
          <w:i w:val="0"/>
          <w:sz w:val="20"/>
        </w:rPr>
        <w:t>Cuadro [N]. Unidades de competencia por asignatura</w:t>
      </w:r>
    </w:p>
    <w:tbl>
      <w:tblPr>
        <w:tblW w:type="auto" w:w="0"/>
        <w:jc w:val="center"/>
        <w:tblLayout w:type="fixed"/>
        <w:tblLook w:firstColumn="1" w:firstRow="1" w:lastColumn="0" w:lastRow="0" w:noHBand="0" w:noVBand="1" w:val="04A0"/>
      </w:tblPr>
      <w:tblGrid>
        <w:gridCol w:w="680"/>
        <w:gridCol w:w="1020"/>
        <w:gridCol w:w="2268"/>
        <w:gridCol w:w="5102"/>
      </w:tblGrid>
      <w:tr>
        <w:trPr>
          <w:tblHeader/>
        </w:trPr>
        <w:tc>
          <w:tcPr>
            <w:tcW w:type="dxa" w:w="68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Año</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Asignatura</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Unidad de competencia</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la teoría contable en el registro de transacciones y hechos económicos en el sistema de contabilidad de un ente en Bolivia, operando con herramientas digitales, generando los estados financieros y reportes contables con apego a las normas de contabilidad y disposiciones legales vigentes, proporcionando información razonable, oportuna, íntegra, confiable y útil para la toma de decisiones y el control gerencial.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Tecnologías de Información y Herramientas Digitales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información útil y oportuna de una entidad, basada en algoritmos con estructuras de control en la solución de problemas, con orden, precisión, confidencialidad y actitud investigativa, utilizando herramientas digitales y colaborativas, hojas de cálculo contable-financieras, tecnologías de la información y la inteligencia artificial generativa, automatizando procesos contables.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ADM-101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General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el proceso administrativo de una organización, planificando su estrategia con responsabilidad social, estructurando su organización, dirigiendo su ejecución, controlando sus resultados con gestión de riesgos y analizando los enfoques teóricos y la perspectiva global de la administración, con ética profesional e integridad.</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DER-101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 y Corporativo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el ordenamiento jurídico comercial que regula los actos de comercio, los sujetos de derecho y las sociedades comerciales, mediante el análisis del Código de Comercio y la legislación regulatoria vigente, la caracterización de los documentos constitutivos societarios, títulos valores y mercado de valores, y el seguimiento de los procedimientos de constitución, reorganización y disolución de sociedades comerciales, para garantizar la validez legal de las operaciones comerciales, la gobernanza corporativa y la protección del patrimonio organizacional, con ética profesional, responsabilidad, confidencialidad y estricto cumplimiento normativo.</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DER-102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Laboral y Seguridad Social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la normativa laboral y de la seguridad social de corto y largo plazo en la gestión de las relaciones jurídicas laborales, mediante la interpretación de los derechos y obligaciones de los sujetos del derecho, la estructuración de algoritmos de cálculo sociolaboral y la determinación de componentes económicos de la nómina y aportes previsionales, para garantizar el cumplimiento legal, la certidumbre jurídica y la prevención de contingencias en la organización, con ética profesional, confidencialidad y estricto apego a las disposiciones legales vigentes.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ECO-101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Evalúa el proceso de toma de decisiones de los agentes económicos (consumidores, empresas y gobierno) y el funcionamiento de los mercados de bienes y de factores, así como el equilibrio general, los problemas de información y la interdependencia estratégica, con rigor analítico, pensamiento crítico y ética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MAT-101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Optimiza las funciones económicas, financieras y contables de una entidad con herramientas digitales, analizando las funciones, los límites, las derivadas y la sensibilidad de sus resultados, calculando integrales y derivadas parciales, y resolviendo ecuaciones y sistemas de ecuaciones, con rigor lógico, integridad e iniciativa propia.</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MAT-102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Evalúa operaciones de financiamiento e inversión del sistema financiero boliviano, aplicando los modelos del valor del dinero en el tiempo, calculando tasas, rentas, amortizaciones y valores de instrumentos financieros en hoja de cálculo e interpretando sus resultados y sus riesgos en la toma de decisiones, con rigor técnico, pensamiento crítico, ética profesional y apego a la normativa de la ASFI y del Banco Central de Bolivia.</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Estructura el marco de teoría contable para la situación financiera, el desempeño financiero y los flujos de efectivo de una entidad boliviana, conforme a las normas de contabilidad y disposiciones legales vigentes en Bolivia, a través de un sistema de contabilidad acorde a las actividades de una entidad boliviana, en función a un sistema de control interno, aplicando criterios de valuación y reconocimiento (apropiación) para partidas de balance y resultado, operando herramientas digitales y las plataformas del Servicio de Impuestos Nacionales, para generar información razonable, oportuna, íntegra, confiable y útil para la toma y control de decisiones.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 analiza y orienta sobre la aplicación de la legislación comercial para la constitución, desarrollo y modificaciones de capital en las entidades constituidas como sociedades comerciales, procesando la transformación, fusión, liquidación y consolidación con sucursales y casa central, estructurando el tratamiento contable del patrimonio para los diferentes tipos de sociedades comerciales en Bolivia y asesorando a organizaciones sin fines de lucro, con precisión, ética profesional y apego a las disposiciones legales vigentes.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Interpreta y aplica el Código Tributario Boliviano (Ley N.º 2492), Sistema Tributario Boliviano (Ley N° 843) y demás disposiciones vigentes; liquida los tributos de dominio nacional, departamental y municipal; determina y concilia el resultado contable con el resultado fiscal; utiliza las plataformas virtuales de la Administración Tributaria; y controla el cumplimiento de las obligaciones tributarias, con rigor técnico, ética profesional y apego a las disposiciones legales.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CPA-204</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un proyecto de investigación en el campo de las ciencias económicas y financieras, explicando los fundamentos del método científico, planteando el problema y los objetivos, formulando el marco teórico y la hipótesis, aplicando herramientas digitales en la búsqueda bibliográfica, y en el análisis estadístico de la información a recolectar y los resultados a presentar, con pensamiento crítico, rigor metodológico, ética en la investigación y uso responsable de la inteligencia artificial.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ADM-201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Sistemas Gerenciales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Comprende las organizaciones públicas y privadas bajo el enfoque sistémico de la administración, analizando el sistema de toma de decisiones y el sistema de información, aplicando los sistemas de planificación, de organización, de integración de recursos, de dirección y de control, evaluando los riesgos y el control interno de cada sistema, utilizando herramientas digitales en la gestión de la información y adaptando los modelos gerenciales a la gestión de las organizaciones, con liderazgo, pensamiento crítico, ética y eficiencia en el uso de los recursos.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DER-201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Tributario y Legislación Aduanera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el ordenamiento jurídico tributario y aduanero que rige las relaciones entre el Estado y el contribuyente, mediante la fundamentación de los principios constitucionales, la determinación de la obligación tributaria, la aplicación de procedimientos determinativos, regímenes sancionatorios e impugnaciones, y el análisis de la doble imposición internacional con apoyo en herramientas digitales y fuentes oficiales, para garantizar el correcto cumplimiento fiscal, la certidumbre jurídica y la gestión de riesgos en la organización, con pensamiento crítico, ética profesional y estricto apego a las disposiciones legales vigentes.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ECO-201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 el comportamiento de la economía boliviana en base a agregados macroeconómicos, del sector real, monetario y externo a través del modelo de equilibrio general, IS-LM y Mundell-Fleming, evaluando los efectos de la política fiscal, monetaria y externa con uso de estadísticas oficiales y hojas de cálculo, rigor cuantitativo, sentido crítico y ética en el manejo de la información.</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MAT-201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Álgebra Lineal y Modelación para Negocios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Resuelve problemas de aplicación en entidades económicas y financieras bolivianas, planteando sistemas de ecuaciones lineales con matrices y determinantes y aplicando modelos de programación lineal con el método simplex, optimización de ingresos y beneficios y minimización de costos, además de resolver aplicaciones y problemas de teoría combinatoria y teoría de conjuntos con fundamento crítico e interpretación en base a la creatividad</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 estados financieros de propósito general de entidades en Bolivia, de acuerdo con los Estándares Internacionales de Información Financiera (Normas NIIF de Contabilidad y la NIIF para las PYMES) y las Normas de Contabilidad Generalmente Aceptadas en Bolivia, evaluando los criterios de reconocimiento, medición, presentación y revelación de los hechos económicos en organizaciones privadas, bajo criterios de alta comparabilidad y transparencia, para fundamentar la toma de decisiones estratégicas, el cumplimiento normativo y el resguardo del interés público; integrando herramientas digitales (hojas de cálculo), terminología de inglés técnico contable y un riguroso juicio profesional ético y objetivo.</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Gestión</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e implementa el sistema integral de costos y el presupuesto maestro en entidades productivas, mediante el control de los elementos del costo (materiales, mano de obra y CIF), la aplicación de sistemas de acumulación (por órdenes, procesos), costeo directo o variable y costos conjuntos y la evaluación de modelos de gestión (costeo estándar y Costeo Basado en Actividades) y la aplicación del costo volumen utilidad, integrando herramientas tecnológicas avanzadas, criterios de sostenibilidad ambiental y economía circular, con rigor técnico, integridad profesional y estricto apego a la norma técnico legal vigente."</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las transacciones contables de los bancos y las entidades financieras del Sistema Financiero Nacional para la elaboración de estados financieros conforme al Manual de Cuentas de la Autoridad de Supervisión del Sistema Financiero y a las Normas de Contabilidad Generalmente Aceptadas en Bolivia, de las operaciones activas, pasivas, de servicio y financieras que realiza un banco.</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CPA-304</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Gubernamental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 el presupuesto de recursos y gastos y elabora los estados financieros de una entidad pública boliviana, analizando la estructura del Estado y la planificación integral, explicando los sistemas de administración y control gubernamental y el régimen de responsabilidad por la función pública, registrando los hechos presupuestarios, económicos y financieros en los momentos presupuestarios, contables y de tesorería del Sistema de Contabilidad Integrada y aplicando las Normas de Contabilidad Integrada y Normas Internacionales del Sector Público, con precisión técnica, ética profesional, transparencia y apego a las políticas y normas vigentes del Órgano Rector.</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Contables ERP y Análisis de Datos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Conoce, selecciona y aplica de manera práctica las herramientas tecnológicas especializadas relacionadas con la contaduría pública —incluyendo sistemas de gestión contable, administración de inventarios, activos fijos, gestión de personal, puntos de venta (POS), aplicaciones tributarias y plataformas de análisis de datos— para optimizar los procesos financieros y apoyar la toma de decisiones estratégicas en las organizaciones.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ADM-301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y Comportamiento Organizacional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Conduce el desarrollo organizacional de entidades públicas y privadas bolivianas, fortaleciendo su cultura, aprendizaje e innovación, implementando el cambio, fundamentando las decisiones gerenciales con modelos de decisión e información de gestión, y formulando modelos y planes de negocio con apoyo del marketing, la transformación digital y la inteligencia artificial, con liderazgo ético, pensamiento crítico, trabajo en equipo, respeto a la diversidad y responsabilidad social.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ECO-301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un proyecto de inversión privado o público, analizando el mercado y la demanda potencial de un producto o servicio, diseñando el tamaño, la localización y la organización del proyecto, verificando su viabilidad legal y ambiental, calculando los costos y la inversión requerida y midiendo el efecto del riesgo con el análisis de sensibilidad, y elaborando flujos de caja para la evaluación financiera y socioeconómica a nivel privado y público en base a la normativa vigente de inversión pública, con uso de hojas de cálculo, objetividad, rigor técnico, sentido crítico y atención al aporte del proyecto al desarrollo del país.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MAT-301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el muestreo estadístico en el análisis de datos aplicado a los negocios. Calcula e interpreta medidas de tendencia central, de posición, de dispersión y de forma de un conjunto de datos, analizando la correlación y la regresión entre dos o más variables con atención a sus supuestos y límites, aplicando las probabilidades y los modelos probabilísticos a variables aleatorias, construyendo intervalos de confianza para estimar los parámetros poblacionales. Aplica la docimasia de hipótesis estadísticas, utilizando muestras insesgadas, consistentes, eficientes y de máxima verosimilitud sobre medias o proporciones poblacionales, con el manejo de herramientas estadísticas computacionales como Excel, R, Python, SPSS y STATA, todo ello con rigor técnico, sentido crítico en la interpretación de los resultados estadísticos y ética en el manejo de los datos para una posterior toma de decisiones.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los estados financieros de las empresas mineras y petroleras conforme a las normas de contabilidad y las disposiciones legales vigentes en Bolivia, aplicando los fundamentos contables de ambas industrias, registrando cada una de las operaciones que intervienen en las mismas, determinando de manera eficiente los costos mineros y petroleros para una toma de decisiones oportuna, sistemática, con sentido crítico, objetivo y atención al desempeño ambiental y social de las industrias extractivas.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los estados financieros de las empresas agrícolas y ganaderas conforme a las normas de contabilidad y las disposiciones legales vigentes en Bolivia, explicando los fundamentos y la administración de la empresa agropecuaria, determinando las obligaciones del régimen impositivo agropecuario, describiendo los procesos de producción agrícola y ganadera, registrando las operaciones contables de ambas actividades, determinando los costos de producción con hojas de costos en hoja de cálculo y aplicando NC y NIIF y herramientas tecnológicas, con sentido crítico ante el riesgo climático y de mercado, ética profesional y atención al desempeño ambiental y social del sector.</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Privado y Social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Desarrolla los fundamentos del seguro privado y de la seguridad social, aspectos teóricos, técnicos, regulatorios y prácticos de la contabilidad, elaborando los Estados Financieros de las entidades de seguro privado y los criterios técnicos para su contabilización y análisis financiero del Sistema de Seguridad Social con principios, valores y ética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CPA-404</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 Sistemas de Contabilidad</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el sistema contable integrado de una organización conforme a las normas de contabilidad y las disposiciones legales vigentes en Bolivia, explicando los fundamentos del diseño de sistemas y el modelo de negocios de la empresa, analizando y diagnosticando sus sistemas empresariales, estructurando el plan de cuentas y los componentes del sistema de información contable, evaluando el sistema de control interno de sus ciclos transaccionales con los marcos COSO y los controles generales de tecnología de la información, elaborando la documentación interna del sistema y relacionando el Sistema de Contabilidad Integrada con la gestión financiera pública, con rigor técnico, sentido crítico, resguardo de la información y ética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Gestiona los recursos financieros de una organización conforme a los principios de las finanzas corporativas y las disposiciones vigentes, explicando la función y los objetivos de la administración financiera, analizando e interpretando sus estados financieros, planificando su presupuesto financiero, administrando su capital de trabajo, valuando el dinero en el tiempo, sus obligaciones y sus acciones, midiendo el riesgo de su cartera y cubriéndolo con las alternativas disponibles en el mercado, evaluando proyectos de inversión a largo plazo y valorando empresas, determinando su apalancamiento, su estructura de capital y su política de dividendos, y aplicando la inteligencia de negocios y las finanzas internacionales, con hojas de cálculo, sentido crítico ante el riesgo cambiario e inflacionario, ética profesional y visión estratégica.</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CPA-406</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Ética e Independencia Profesional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Resuelve dilemas éticos y evalúa la independencia en los encargos de auditoría, de revisión y de aseguramiento, aplicando los principios éticos y los valores morales del ejercicio profesional de la Contaduría Pública, así como los principios fundamentales y el marco conceptual del Código Internacional de Ética para Profesionales de la Contabilidad en su edición vigente, incluidas las disposiciones sobre planificación fiscal, tecnología e información de sostenibilidad, diferenciando la ética personal de la ética profesional y empresarial e identificando las amenazas frente al fraude y la corrupción, con uso responsable de herramientas tecnológicas, juicio profesional, escepticismo, integridad y apego a las disposiciones vigentes en Bolivia.</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 ejecuta y concluye auditorías de estados financieros de propósito general conforme a las Normas de Auditoría Generalmente Aceptadas en Bolivia (NCGA) y las Normas Internacionales de Auditoría (NIA del IAASB), evaluando los riesgos de incorrección material y diseñando respuestas a dichos riesgos para obtener evidencia suficiente y adecuada, documentar el encargo, emitir el informe del auditor independiente y la carta de recomendaciones, actuando con escepticismo profesional, independencia e integridad.</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CPA-408</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Control Interno, Gestión de Riesgos y Gobierno Corporativo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 y evalúa la naturaleza, estructura, funcionamiento y modelos de gestión de las organizaciones públicas, privadas y sin fines de lucro, considerando los principios de Gobierno Corporativo, los sistemas de Control Interno y la Gestión Integral de Riesgos, incluyendo las estrategias de tratamiento y monitoreo de riesgos y la aplicación de tecnologías emergentes, mediante la aplicación de marcos conceptuales, técnicos y normativos nacionales e internacionales; explica la organización, funciones y responsabilidades de las Unidades de Auditoría Interna, así como los fundamentos de su planificación estratégica y operativa, y comprende la naturaleza, características y etapas del proceso de auditoría, desde el relevamiento y la planificación hasta la ejecución, comunicación de resultados y seguimiento de recomendaciones, para contribuir al fortalecimiento de la gestión organizacional, el cumplimiento de los objetivos institucionales, la generación de valor y la rendición de cuentas, con integridad, objetividad, independencia y responsabilidad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MAT-401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y Técnicas Financieras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Resuelve problemas actuariales y financieros aplicados a la gestión del riesgo en entidades bolivianas, calculando funciones biométricas, rentas contingentes y primas de seguros de vida, analizando el sistema de pensiones y aplicando criterios de sostenibilidad y equidad, con rigor cuantitativo, pensamiento crítico y uso ético de los datos.</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 ejecuta y concluye auditorías operativas de sistemas, procesos y operaciones en entidades públicas o privadas de acuerdo con la Norma Internacional de Encargos de Aseguramiento 3000 y a las Normas de Auditoría Operativa Gubernamental de la CGE, evaluando los niveles de eficacia, eficiencia, economía y efectividad de los sistemas y procesos institucionales utilizando herramientas de análisis de datos para estructurar hallazgos, emitir el informe de auditoría y formular recomendaciones que impulsen la mejora continua, la gobernanza y el valor agregado, bajo principios de ética e independencia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Auditoría Financiera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los papeles de trabajo manuales y habilitados con tecnología, el informe del auditor independiente y la carta de recomendaciones de la auditoría de estados financieros de propósito general de una entidad privada, aplicando el Código de Ética para Profesionales de la Contabilidad, con sus disposiciones de independencia, las Normas de Auditoría Generalmente Aceptadas en Bolivia y las Normas de Gestión de la Calidad, evaluando los riesgos de incorrección material y el control interno de la entidad, ejecutando los procedimientos de auditoría en respuesta a los riesgos valorados en cada ciclo de transacciones con herramientas tecnológicas, y simulando la adaptación del trabajo a entidades menos complejas, con escepticismo profesional, independencia, integridad, ética y juicio crítico.</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la Vista de Cargo y el Dictamen Tributario sobre la Información Tributaria Complementaria, aplicando técnicas y procedimientos de auditoría y fiscalización tributaria, determinando de manera objetiva, fundamentada y en cumplimiento de las obligaciones impositivas del cliente o contribuyente conforme a la normativa vigente.</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CPA-504</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Gubernamental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 el Modelo de Gestión Pública, el Sistema de Control Gubernamental y el Régimen de Responsabilidad por la Función Pública; evalúa el sistema de control interno y planifica, ejecuta y comunica los resultados de las auditorías financiera, de cumplimiento y operacional en entidades del sector público boliviano, aplicando el marco jurídico y técnico, las Normas de Auditoría Gubernamental y las guías de la Contraloría General del Estado, mediante el relevamiento de información, la evaluación de riesgos, la planificación de auditoría, la ejecución de programas de trabajo, la obtención de evidencia suficiente, competente y lícita y la formulación de hallazgos, conclusiones y recomendaciones, para emitir opiniones e informes de auditoría, identificar indicios de responsabilidad por la función pública, cuando corresponda, y contribuir al fortalecimiento del control interno, la gestión institucional y la rendición de cuentas, con independencia, objetividad, integridad y ética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Digital, Ciberseguridad y Tecnologías Emergentes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el informe de evaluación de los sistemas y tecnologías de información de entidades bolivianas, conforme a las normas de auditoría y aseguramiento y a los estándares de buenas prácticas vigentes, analizando los sistemas de información y las bases de datos que soportan los procesos contables. Aplica frameworks de negocio como COSO, COBIT y las normas ISO de seguridad y gestión de riesgos; evalúa el control interno del entorno tecnológico, ejecuta técnicas de auditoría asistidas por computador y análisis de datos, y valora la ciberseguridad, la auditoría continua y la confiabilidad de las tecnologías emergentes y de la inteligencia artificial, con objetividad, rigor técnico, juicio crítico y ética profesional.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CPA-506</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Reportes y Aseguramiento de Sostenibilidad y Auditoría Ambiental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el reporte de sostenibilidad conforme a las NIIF de Sostenibilidad, el informe de aseguramiento de la sostenibilidad y de auditoría ambiental de entidades públicas y privadas bolivianas conforme a los pronunciamientos profesionales locales e internacionales vigentes, analizando la información financiera de sostenibilidad y el marco normativo ambiental del Estado boliviano, ejecutando las etapas de la auditoría ambiental gubernamental conforme a normas emitidas por el sector gubernamental y contraloría en temas ambientales, normas de las Entidades Fiscalizadoras Superiores y valorando los riesgos y oportunidades relacionados con el medio ambiente, social, gobernanza; con independencia, objetividad, juicio crítico y compromiso con el desarrollo sostenible.</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Entidades Sin Fines de Lucro – Proyectos Privados y Públicos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Realiza los encargos de auditoría, de revisión, de procedimientos acordados y de cumplimiento sobre los estados financieros de propósito general y de propósito específico de las Entidades Sin Fines de Lucro y de los proyectos privados y públicos que administran y ejecutan con recursos nacionales e internacionales, mediante el proceso de planificación (valoración del riesgo), ejecución (respuesta al riesgo) e informe, conforme a las normas nacionales e internacionales, los marcos de referencia de información financiera, la normativa tributaria y los requerimientos de los financiadores, con apoyo de las tecnologías emergentes, juicio profesional, independencia, objetividad, escepticismo profesional y ética conforme al código de ética profesional vigente.</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CPA-508</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y Prevención de Delitos Económicos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ejecuta y evalúa estrategias integrales de auditoría forense y compliance penal bajo la NIA 3000 (ISAE 3000), ISO 37001 y las Normas de Auditoría de Cumplimiento de la Contraloría General del Estado de Bolivia, integrando la legislación penal, civil, comercial y financiera boliviana (Leyes 004, 1390, 1178, 393, UIF/ASFI) y técnicas de investigación financiera y analítica transaccional, para prevenir, detectar, mitigar y sustentar evidencias de fraude, corrupción y lavado de activos, garantizando la cadena de custodia probatoria, la admisibilidad judicial y el blindaje institucional.</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CPA-509</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Entidades Financieras y Servicios Relacionados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el informe de auditoría de los estados financieros de una entidad financiera, los informes de los servicios relacionados y complementarios y los informes reglamentarios requeridos por la Autoridad de Supervisión del Sistema Financiero conforme a las Normas de Auditoría Generalmente Aceptadas en Bolivia, analizando las características y los servicios autorizados del sistema de intermediación financiera, aplicando el Manual de Cuentas para Entidades Financieras y las normas regulatorias de preparación de estados financieros, planificando el encargo con base en los riesgos específicos del sector y ejecutando las pruebas de controles y sustantivas con apoyo de herramientas de análisis de datos y evaluando el entorno de tecnología de información y sus controles, con independencia, escepticismo profesional, juicio crítico y ética.</w:t>
            </w:r>
          </w:p>
        </w:tc>
      </w:tr>
      <w:tr>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CPA-510</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Taller de Grado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 un Perfil de Tesis de Grado o un Perfil de Proyecto de Grado en el ámbito de la Contaduría Pública, a partir de la identificación de una problemática relevante y pertinente, enmarcada en las líneas de investigación de la Carrera, articulando fundamentos teóricos, metodológicos y profesionales, con criterios de coherencia, rigor académico, factibilidad, ética y cumplimiento de la normativa institucional.</w:t>
            </w:r>
          </w:p>
        </w:tc>
      </w:tr>
    </w:tbl>
    <w:p>
      <w:pPr>
        <w:spacing w:before="40" w:after="200" w:line="240" w:lineRule="auto"/>
        <w:jc w:val="left"/>
      </w:pPr>
      <w:r>
        <w:rPr>
          <w:rFonts w:ascii="Century Gothic" w:hAnsi="Century Gothic" w:cs="Century Gothic" w:eastAsia="Century Gothic"/>
          <w:b w:val="0"/>
          <w:i w:val="0"/>
          <w:sz w:val="16"/>
        </w:rPr>
        <w:t>Fuente: planes de asignatura del punto 4.5.</w:t>
      </w:r>
    </w:p>
    <w:p>
      <w:pPr>
        <w:keepNext/>
        <w:spacing w:before="120" w:after="200" w:line="240" w:lineRule="auto"/>
        <w:jc w:val="left"/>
      </w:pPr>
      <w:r>
        <w:rPr>
          <w:rFonts w:ascii="Century Gothic" w:hAnsi="Century Gothic" w:cs="Century Gothic" w:eastAsia="Century Gothic"/>
          <w:b/>
          <w:i w:val="0"/>
          <w:sz w:val="24"/>
        </w:rPr>
        <w:t>Propuesta 10. Horas mínimas de prácticas preprofesionales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4.8.3 Organización y supervisión.</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el párrafo «Carga horaria» de 4.8.3 por el texto siguiente y agregar el cuadro.</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Prácticas preprofesionales (calificación actual: no cumple); Art. 11, par. VI y VIII</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las horas por año y las asignaturas vinculadas.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240 horas, distribuidas en 60, 80 y 100 horas en 3.°, 4.° y 5.° año, o ajustarlas.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Carga horaria: cada estudiante cumple un mínimo de 240 horas de práctica preprofesional en organizaciones, distribuidas de forma progresiva entre el tercer y el quinto año. Las horas se registran como horas no presenciales de las asignaturas vinculadas, se acreditan en el historial académico y son requisito para obtener el certificado de conclusión de estudios. Los requisitos de habilitación y el procedimiento de acreditación se regulan en el Reglamento de Prácticas Preprofesionales del punto 13.1.5.</w:t>
      </w:r>
    </w:p>
    <w:p>
      <w:pPr>
        <w:keepNext/>
        <w:spacing w:before="40" w:after="80" w:line="240" w:lineRule="auto"/>
        <w:jc w:val="center"/>
      </w:pPr>
      <w:r>
        <w:rPr>
          <w:rFonts w:ascii="Century Gothic" w:hAnsi="Century Gothic" w:cs="Century Gothic" w:eastAsia="Century Gothic"/>
          <w:b/>
          <w:i w:val="0"/>
          <w:sz w:val="20"/>
        </w:rPr>
        <w:t>Cuadro [N]. Horas mínimas de práctica preprofesional por año</w:t>
      </w:r>
    </w:p>
    <w:tbl>
      <w:tblPr>
        <w:tblW w:type="auto" w:w="0"/>
        <w:jc w:val="center"/>
        <w:tblLayout w:type="fixed"/>
        <w:tblLook w:firstColumn="1" w:firstRow="1" w:lastColumn="0" w:lastRow="0" w:noHBand="0" w:noVBand="1" w:val="04A0"/>
      </w:tblPr>
      <w:tblGrid>
        <w:gridCol w:w="737"/>
        <w:gridCol w:w="1134"/>
        <w:gridCol w:w="3685"/>
        <w:gridCol w:w="3515"/>
      </w:tblGrid>
      <w:tr>
        <w:trPr>
          <w:tblHeader/>
        </w:trPr>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Horas mínimas</w:t>
            </w:r>
          </w:p>
        </w:tc>
        <w:tc>
          <w:tcPr>
            <w:tcW w:type="dxa" w:w="3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 vinculadas</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Ámbito y producto esperado</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60</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CPA-302 Contabilidad de Costos y Gestión y CPA-305 Sistemas Contables ERP y Análisis de Datos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Registro contable, costos y operación de sistemas en una empresa o entidad pública; informe con evidencias</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80</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CPA-407 Auditoría Financiera y CPA-408 Auditoría Interna, Control Interno, Gestión de Riesgos y Gobierno Corporativo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Apoyo en encargos de auditoría o de control interno; papeles de trabajo</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100</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CPA-502 Gabinete de Auditoría Financiera y CPA-510 Taller de Grado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Encargo integral de aseguramiento, tributación o consultoría; informe vinculado al trabajo de grado</w:t>
            </w:r>
          </w:p>
        </w:tc>
      </w:tr>
      <w:tr>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Total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240</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Fuente: elaboración con base en los puntos 4.4.3, 4.8 y 8.4.</w:t>
      </w:r>
    </w:p>
    <w:p>
      <w:pPr>
        <w:keepNext/>
        <w:spacing w:before="120" w:after="200" w:line="240" w:lineRule="auto"/>
        <w:jc w:val="left"/>
      </w:pPr>
      <w:r>
        <w:rPr>
          <w:rFonts w:ascii="Century Gothic" w:hAnsi="Century Gothic" w:cs="Century Gothic" w:eastAsia="Century Gothic"/>
          <w:b/>
          <w:i w:val="0"/>
          <w:sz w:val="24"/>
        </w:rPr>
        <w:t>Propuesta 11. Plazos de suspensión y reincorporación</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5.3.2 Permanencia, licencias, suspensiones, reincorporación y abandono.</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el último párrafo de 5.3.2, que remite los plazos al reglamento específico.</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8, num. 5; Art. 12, Admisión, criterio 4</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verificar los plazos con el reglamento de readmisiones vigente en la UMSA.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los plazos propuestos o reemplazarlos por los del reglamento de la UMSA.</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Plazos máximos: la suspensión voluntaria de estudios se concede por una o dos gestiones académicas consecutivas y puede renovarse una sola vez. El estudiante que no se matricula durante más de dos gestiones sin haber solicitado suspensión tramita su readmisión conforme al reglamento específico de la UMSA. En todos los casos, el estudiante se reincorpora al plan vigente al momento de su retorno, con el reconocimiento de las asignaturas aprobadas conforme a las tablas del punto 16.1. Estos plazos se incorporan al Reglamento Interno de la Carrera señalado en el punto 13.1.</w:t>
      </w:r>
    </w:p>
    <w:p>
      <w:pPr>
        <w:keepNext/>
        <w:spacing w:before="120" w:after="200" w:line="240" w:lineRule="auto"/>
        <w:jc w:val="left"/>
      </w:pPr>
      <w:r>
        <w:rPr>
          <w:rFonts w:ascii="Century Gothic" w:hAnsi="Century Gothic" w:cs="Century Gothic" w:eastAsia="Century Gothic"/>
          <w:b/>
          <w:i w:val="0"/>
          <w:sz w:val="24"/>
        </w:rPr>
        <w:t>Propuesta 12. Cuadro de modalidades de graduación con sigla, carga y créditos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5.4, después de 5.4.3.</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un subpunto nuevo al final de 5.4.</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Admisión, criterio 5</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las siglas, las cargas y los créditos propuestos.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las siglas y la carga de 600 horas, 20 créditos, para las modalidades que el Reglamento no cuantifica.</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5.4.4</w:t>
        <w:tab/>
      </w:r>
      <w:r>
        <w:rPr>
          <w:rFonts w:ascii="Century Gothic" w:hAnsi="Century Gothic" w:cs="Century Gothic" w:eastAsia="Century Gothic"/>
          <w:b/>
          <w:i w:val="0"/>
          <w:sz w:val="22"/>
        </w:rPr>
        <w:t>Siglas, carga horaria y créditos de las modalidades de graduación</w:t>
      </w:r>
    </w:p>
    <w:p>
      <w:pPr>
        <w:spacing w:before="0" w:after="200" w:line="240" w:lineRule="auto"/>
        <w:jc w:val="both"/>
      </w:pPr>
      <w:r>
        <w:rPr>
          <w:rFonts w:ascii="Century Gothic" w:hAnsi="Century Gothic" w:cs="Century Gothic" w:eastAsia="Century Gothic"/>
          <w:b w:val="0"/>
          <w:i w:val="0"/>
          <w:sz w:val="20"/>
        </w:rPr>
        <w:t>Las modalidades de graduación no forman parte de las 6.000 horas académicas ni de los 300 créditos del plan: se desarrollan después del certificado de conclusión de estudios, salvo las salidas intermedias. Su carga horaria es la del trabajo del estudiante y sus créditos se calculan a razón de 30 horas por crédito, conforme a la Resolución HCU N.º 351/2021, salvo el diplomado, que se rige por el Reglamento General de Estudios de Posgrado.</w:t>
      </w:r>
    </w:p>
    <w:p>
      <w:pPr>
        <w:keepNext/>
        <w:spacing w:before="40" w:after="80" w:line="240" w:lineRule="auto"/>
        <w:jc w:val="center"/>
      </w:pPr>
      <w:r>
        <w:rPr>
          <w:rFonts w:ascii="Century Gothic" w:hAnsi="Century Gothic" w:cs="Century Gothic" w:eastAsia="Century Gothic"/>
          <w:b/>
          <w:i w:val="0"/>
          <w:sz w:val="20"/>
        </w:rPr>
        <w:t>Cuadro [N]. Modalidades de graduación</w:t>
      </w:r>
    </w:p>
    <w:tbl>
      <w:tblPr>
        <w:tblW w:type="auto" w:w="0"/>
        <w:jc w:val="center"/>
        <w:tblLayout w:type="fixed"/>
        <w:tblLook w:firstColumn="1" w:firstRow="1" w:lastColumn="0" w:lastRow="0" w:noHBand="0" w:noVBand="1" w:val="04A0"/>
      </w:tblPr>
      <w:tblGrid>
        <w:gridCol w:w="1474"/>
        <w:gridCol w:w="794"/>
        <w:gridCol w:w="2835"/>
        <w:gridCol w:w="1247"/>
        <w:gridCol w:w="1247"/>
        <w:gridCol w:w="147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Nivel</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Sigla</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Modalidad</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Carga horaria</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Créditos</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Base</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Tesis de Grado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13 a 28</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PRG</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Proyecto de Grado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29 a 44</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TDI</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Trabajo Dirigido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1.280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45 a 58</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EGC</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Examen de Grado por Ciclos de Evaluación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59 a 70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GEA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Graduación por Excelencia Académica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Eximitoria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aplica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71 a 76</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GVD</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Graduación Vía Diplomado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800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 de posgrado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77 a 82</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Licenciatura</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PET</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Plan Excepcional de Titulación para Estudiantes No Graduados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Según su reglamento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Según su reglamento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83 a 86</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Técnico Superior</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EGTS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Examen de Grado Técnico Superior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120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Arts. 87 a 90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Técnico Universitario Medio</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GDTUM</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Graduación directa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aplica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aplica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 87-Bis</w:t>
            </w:r>
          </w:p>
        </w:tc>
      </w:tr>
    </w:tbl>
    <w:p>
      <w:pPr>
        <w:spacing w:before="40" w:after="200" w:line="240" w:lineRule="auto"/>
        <w:jc w:val="left"/>
      </w:pPr>
      <w:r>
        <w:rPr>
          <w:rFonts w:ascii="Century Gothic" w:hAnsi="Century Gothic" w:cs="Century Gothic" w:eastAsia="Century Gothic"/>
          <w:b w:val="0"/>
          <w:i w:val="0"/>
          <w:sz w:val="16"/>
        </w:rPr>
        <w:t>Fuente: Reglamento de Modalidades de Graduación, punto 13.1.4. Créditos de pregrado a razón de 30 horas por crédito.</w:t>
      </w:r>
    </w:p>
    <w:p>
      <w:pPr>
        <w:keepNext/>
        <w:spacing w:before="120" w:after="200" w:line="240" w:lineRule="auto"/>
        <w:jc w:val="left"/>
      </w:pPr>
      <w:r>
        <w:rPr>
          <w:rFonts w:ascii="Century Gothic" w:hAnsi="Century Gothic" w:cs="Century Gothic" w:eastAsia="Century Gothic"/>
          <w:b/>
          <w:i w:val="0"/>
          <w:sz w:val="24"/>
        </w:rPr>
        <w:t>Propuesta 13. Seguimiento académico y acompañamiento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5.3.</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como subpunto 5.3.5, después de 5.3.4 Mesas de examen. Si la Comisión no desea restituirlo, cambiar las tres referencias a 5.3.5 por 5.3.1.</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Referencias a 5.3.5 en 5.3.1, 13.1.2 y 14.9; Art. 12, Admisión</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 texto de la versión anterior del punto 5, que la revisión eliminó, ajustado a los términos acordados.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Decidir si se restituye el subpunto o si se corrigen las tres referencias.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5.3.5</w:t>
        <w:tab/>
      </w:r>
      <w:r>
        <w:rPr>
          <w:rFonts w:ascii="Century Gothic" w:hAnsi="Century Gothic" w:cs="Century Gothic" w:eastAsia="Century Gothic"/>
          <w:b/>
          <w:i w:val="0"/>
          <w:sz w:val="22"/>
        </w:rPr>
        <w:t>Seguimiento académico y acompañamiento</w:t>
      </w:r>
    </w:p>
    <w:p>
      <w:pPr>
        <w:spacing w:before="0" w:after="200" w:line="240" w:lineRule="auto"/>
        <w:jc w:val="both"/>
      </w:pPr>
      <w:r>
        <w:rPr>
          <w:rFonts w:ascii="Century Gothic" w:hAnsi="Century Gothic" w:cs="Century Gothic" w:eastAsia="Century Gothic"/>
          <w:b w:val="0"/>
          <w:i w:val="0"/>
          <w:sz w:val="20"/>
        </w:rPr>
        <w:t>El diagnóstico identifica cuellos de botella en las asignaturas de contabilidad, auditoría y tributación del Área Contable y de Auditoría, un seguimiento reactivo del rendimiento y 396 estudiantes con siete a nueve años de permanencia en 2025. Para mejorar la promoción y la eficiencia terminal, el Rediseño Curricular incorpora:</w:t>
      </w:r>
    </w:p>
    <w:p>
      <w:pPr>
        <w:numPr>
          <w:ilvl w:val="0"/>
          <w:numId w:val="903"/>
        </w:numPr>
        <w:spacing w:before="0" w:after="160" w:line="240" w:lineRule="auto"/>
        <w:jc w:val="both"/>
      </w:pPr>
      <w:r>
        <w:rPr>
          <w:rFonts w:ascii="Century Gothic" w:hAnsi="Century Gothic" w:cs="Century Gothic" w:eastAsia="Century Gothic"/>
          <w:b/>
          <w:i w:val="0"/>
          <w:sz w:val="20"/>
        </w:rPr>
        <w:t>Sistema de alerta temprana:</w:t>
      </w:r>
      <w:r>
        <w:rPr>
          <w:rFonts w:ascii="Century Gothic" w:hAnsi="Century Gothic" w:cs="Century Gothic" w:eastAsia="Century Gothic"/>
          <w:b w:val="0"/>
          <w:i w:val="0"/>
          <w:sz w:val="20"/>
        </w:rPr>
        <w:t xml:space="preserve"> el sistema de seguimiento académico, conectado al kárdex, identifica las caídas de rendimiento y las inasistencias reiteradas antes del primer parcial y activa la derivación a tutoría.</w:t>
      </w:r>
    </w:p>
    <w:p>
      <w:pPr>
        <w:numPr>
          <w:ilvl w:val="0"/>
          <w:numId w:val="903"/>
        </w:numPr>
        <w:spacing w:before="0" w:after="160" w:line="240" w:lineRule="auto"/>
        <w:jc w:val="both"/>
      </w:pPr>
      <w:r>
        <w:rPr>
          <w:rFonts w:ascii="Century Gothic" w:hAnsi="Century Gothic" w:cs="Century Gothic" w:eastAsia="Century Gothic"/>
          <w:b/>
          <w:i w:val="0"/>
          <w:sz w:val="20"/>
        </w:rPr>
        <w:t>Tutoría entre pares y auxiliaturas:</w:t>
      </w:r>
      <w:r>
        <w:rPr>
          <w:rFonts w:ascii="Century Gothic" w:hAnsi="Century Gothic" w:cs="Century Gothic" w:eastAsia="Century Gothic"/>
          <w:b w:val="0"/>
          <w:i w:val="0"/>
          <w:sz w:val="20"/>
        </w:rPr>
        <w:t xml:space="preserve"> los auxiliares de docencia destinan horas semanales a talleres de consulta y repaso práctico en las asignaturas con mayor reprobación.</w:t>
      </w:r>
    </w:p>
    <w:p>
      <w:pPr>
        <w:numPr>
          <w:ilvl w:val="0"/>
          <w:numId w:val="903"/>
        </w:numPr>
        <w:spacing w:before="0" w:after="160" w:line="240" w:lineRule="auto"/>
        <w:jc w:val="both"/>
      </w:pPr>
      <w:r>
        <w:rPr>
          <w:rFonts w:ascii="Century Gothic" w:hAnsi="Century Gothic" w:cs="Century Gothic" w:eastAsia="Century Gothic"/>
          <w:b/>
          <w:i w:val="0"/>
          <w:sz w:val="20"/>
        </w:rPr>
        <w:t>Plan global de la asignatura:</w:t>
      </w:r>
      <w:r>
        <w:rPr>
          <w:rFonts w:ascii="Century Gothic" w:hAnsi="Century Gothic" w:cs="Century Gothic" w:eastAsia="Century Gothic"/>
          <w:b w:val="0"/>
          <w:i w:val="0"/>
          <w:sz w:val="20"/>
        </w:rPr>
        <w:t xml:space="preserve"> conforme al Artículo 32 del Reglamento del Régimen Académico Estudiantil, el plan global de cada asignatura se da a conocer en la primera semana de clases, con el tipo, la cantidad y el valor de cada procedimiento de evaluación.</w:t>
      </w:r>
    </w:p>
    <w:p>
      <w:pPr>
        <w:numPr>
          <w:ilvl w:val="0"/>
          <w:numId w:val="903"/>
        </w:numPr>
        <w:spacing w:before="0" w:after="200" w:line="240" w:lineRule="auto"/>
        <w:jc w:val="both"/>
      </w:pPr>
      <w:r>
        <w:rPr>
          <w:rFonts w:ascii="Century Gothic" w:hAnsi="Century Gothic" w:cs="Century Gothic" w:eastAsia="Century Gothic"/>
          <w:b/>
          <w:i w:val="0"/>
          <w:sz w:val="20"/>
        </w:rPr>
        <w:t>Revisión de calificaciones:</w:t>
      </w:r>
      <w:r>
        <w:rPr>
          <w:rFonts w:ascii="Century Gothic" w:hAnsi="Century Gothic" w:cs="Century Gothic" w:eastAsia="Century Gothic"/>
          <w:b w:val="0"/>
          <w:i w:val="0"/>
          <w:sz w:val="20"/>
        </w:rPr>
        <w:t xml:space="preserve"> el estudiante que se considere perjudicado en una calificación parcial o final puede solicitar su revisión al docente y, ante su negativa, al Director de Carrera, dentro de los cinco días hábiles de publicada, conforme a los Artículos 57 a 60 del mismo reglamento.</w:t>
      </w:r>
    </w:p>
    <w:p>
      <w:pPr>
        <w:keepNext/>
        <w:spacing w:before="120" w:after="200" w:line="240" w:lineRule="auto"/>
        <w:jc w:val="left"/>
      </w:pPr>
      <w:r>
        <w:rPr>
          <w:rFonts w:ascii="Century Gothic" w:hAnsi="Century Gothic" w:cs="Century Gothic" w:eastAsia="Century Gothic"/>
          <w:b/>
          <w:i w:val="0"/>
          <w:sz w:val="24"/>
        </w:rPr>
        <w:t>Propuesta 14. Horas de investigación en el Instituto y adscripción a las líneas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6.1.3 y punto 13.1.4.</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el primer párrafo al final de 6.1.3. Agregar el segundo párrafo al final de los Artículos 16, 32 y 49 del Reglamento de Modalidades de Graduación.</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Investigación, criterios 2 y 3; Art. 8, num. 8</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las 40 horas en el Instituto.</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las horas y aprobar la modificación del Reglamento.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80" w:line="240" w:lineRule="auto"/>
        <w:jc w:val="both"/>
      </w:pPr>
      <w:r>
        <w:rPr>
          <w:rFonts w:ascii="Century Gothic" w:hAnsi="Century Gothic" w:cs="Century Gothic" w:eastAsia="Century Gothic"/>
          <w:b/>
          <w:i w:val="0"/>
          <w:sz w:val="20"/>
        </w:rPr>
        <w:t>Para 6.1.3:</w:t>
      </w:r>
    </w:p>
    <w:p>
      <w:pPr>
        <w:spacing w:before="0" w:after="200" w:line="240" w:lineRule="auto"/>
        <w:jc w:val="both"/>
      </w:pPr>
      <w:r>
        <w:rPr>
          <w:rFonts w:ascii="Century Gothic" w:hAnsi="Century Gothic" w:cs="Century Gothic" w:eastAsia="Century Gothic"/>
          <w:b w:val="0"/>
          <w:i w:val="0"/>
          <w:sz w:val="20"/>
        </w:rPr>
        <w:t>De las 874 horas de investigación y práctica del punto 8.4, cada estudiante cumple al menos 40 horas en actividades del Instituto de Investigaciones de Ciencias Contables, Financieras y Auditoría: seminarios y semilleros de investigación, apoyo a proyectos del Instituto y ferias de investigación. Estas horas se distribuyen entre CPA-204 Métodos y Técnicas de Investigación, las asignaturas de cuarto año y CPA-510 Taller de Grado, y se acreditan en el Registro de horas de investigación del Instituto previsto en el punto 13.2.2.</w:t>
      </w:r>
    </w:p>
    <w:p>
      <w:pPr>
        <w:spacing w:before="0" w:after="80" w:line="240" w:lineRule="auto"/>
        <w:jc w:val="both"/>
      </w:pPr>
      <w:r>
        <w:rPr>
          <w:rFonts w:ascii="Century Gothic" w:hAnsi="Century Gothic" w:cs="Century Gothic" w:eastAsia="Century Gothic"/>
          <w:b/>
          <w:i w:val="0"/>
          <w:sz w:val="20"/>
        </w:rPr>
        <w:t>Para los Artículos 16, 32 y 49 del Reglamento de Modalidades de Graduación:</w:t>
      </w:r>
    </w:p>
    <w:p>
      <w:pPr>
        <w:spacing w:before="0" w:after="200" w:line="240" w:lineRule="auto"/>
        <w:jc w:val="both"/>
      </w:pPr>
      <w:r>
        <w:rPr>
          <w:rFonts w:ascii="Century Gothic" w:hAnsi="Century Gothic" w:cs="Century Gothic" w:eastAsia="Century Gothic"/>
          <w:b w:val="0"/>
          <w:i w:val="0"/>
          <w:sz w:val="20"/>
        </w:rPr>
        <w:t>El perfil indicará la línea de investigación de la Carrera, LI-1 a LI-8 del punto 6.2, a la que se adscribe el trabajo. El Banco de Temas del Artículo 11 verificará esta adscripción.</w:t>
      </w:r>
    </w:p>
    <w:p>
      <w:pPr>
        <w:keepNext/>
        <w:spacing w:before="120" w:after="200" w:line="240" w:lineRule="auto"/>
        <w:jc w:val="left"/>
      </w:pPr>
      <w:r>
        <w:rPr>
          <w:rFonts w:ascii="Century Gothic" w:hAnsi="Century Gothic" w:cs="Century Gothic" w:eastAsia="Century Gothic"/>
          <w:b/>
          <w:i w:val="0"/>
          <w:sz w:val="24"/>
        </w:rPr>
        <w:t>Propuesta 15. Metas de investigación del Instituto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6.1.4 Instituto de Investigaciones.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final de 6.1.4.</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Referencia a «las metas del punto 6.1.4» en 13.2.2; Art. 12, Investigación</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las metas.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o ajustar las metas.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Para revertir esta situación, el Instituto se propone las siguientes metas para 2031, año de la primera promoción del Rediseño Curricular:</w:t>
      </w:r>
    </w:p>
    <w:p>
      <w:pPr>
        <w:numPr>
          <w:ilvl w:val="0"/>
          <w:numId w:val="904"/>
        </w:numPr>
        <w:spacing w:before="0" w:after="160" w:line="240" w:lineRule="auto"/>
        <w:jc w:val="both"/>
      </w:pPr>
      <w:r>
        <w:rPr>
          <w:rFonts w:ascii="Century Gothic" w:hAnsi="Century Gothic" w:cs="Century Gothic" w:eastAsia="Century Gothic"/>
          <w:b w:val="0"/>
          <w:i w:val="0"/>
          <w:sz w:val="20"/>
        </w:rPr>
        <w:t>Al menos el 30 % de los titulados de licenciatura por tesis, proyecto de grado o trabajo dirigido, adscritos a las líneas del punto 6.2.</w:t>
      </w:r>
    </w:p>
    <w:p>
      <w:pPr>
        <w:numPr>
          <w:ilvl w:val="0"/>
          <w:numId w:val="904"/>
        </w:numPr>
        <w:spacing w:before="0" w:after="160" w:line="240" w:lineRule="auto"/>
        <w:jc w:val="both"/>
      </w:pPr>
      <w:r>
        <w:rPr>
          <w:rFonts w:ascii="Century Gothic" w:hAnsi="Century Gothic" w:cs="Century Gothic" w:eastAsia="Century Gothic"/>
          <w:b w:val="0"/>
          <w:i w:val="0"/>
          <w:sz w:val="20"/>
        </w:rPr>
        <w:t>Dos publicaciones anuales del Instituto como mínimo, entre artículos, documentos de trabajo y documentos de política pública.</w:t>
      </w:r>
    </w:p>
    <w:p>
      <w:pPr>
        <w:numPr>
          <w:ilvl w:val="0"/>
          <w:numId w:val="904"/>
        </w:numPr>
        <w:spacing w:before="0" w:after="160" w:line="240" w:lineRule="auto"/>
        <w:jc w:val="both"/>
      </w:pPr>
      <w:r>
        <w:rPr>
          <w:rFonts w:ascii="Century Gothic" w:hAnsi="Century Gothic" w:cs="Century Gothic" w:eastAsia="Century Gothic"/>
          <w:b w:val="0"/>
          <w:i w:val="0"/>
          <w:sz w:val="20"/>
        </w:rPr>
        <w:t>Una feria anual de investigación con participación de las asignaturas CPA-204 y CPA-510.</w:t>
      </w:r>
    </w:p>
    <w:p>
      <w:pPr>
        <w:numPr>
          <w:ilvl w:val="0"/>
          <w:numId w:val="904"/>
        </w:numPr>
        <w:spacing w:before="0" w:after="200" w:line="240" w:lineRule="auto"/>
        <w:jc w:val="both"/>
      </w:pPr>
      <w:r>
        <w:rPr>
          <w:rFonts w:ascii="Century Gothic" w:hAnsi="Century Gothic" w:cs="Century Gothic" w:eastAsia="Century Gothic"/>
          <w:b w:val="0"/>
          <w:i w:val="0"/>
          <w:sz w:val="20"/>
        </w:rPr>
        <w:t>Registro del 100 % de las horas de investigación de los estudiantes en el Instituto.</w:t>
      </w:r>
    </w:p>
    <w:p>
      <w:pPr>
        <w:keepNext/>
        <w:spacing w:before="120" w:after="200" w:line="240" w:lineRule="auto"/>
        <w:jc w:val="left"/>
      </w:pPr>
      <w:r>
        <w:rPr>
          <w:rFonts w:ascii="Century Gothic" w:hAnsi="Century Gothic" w:cs="Century Gothic" w:eastAsia="Century Gothic"/>
          <w:b/>
          <w:i w:val="0"/>
          <w:sz w:val="24"/>
        </w:rPr>
        <w:t>Propuesta 16. Horas de interacción social del estudiante</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7.1, después de 7.1.2.</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un subpunto nuevo al final de 7.1.</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Interacción social, criterio 2 (calificación actual: no cumple); referencia a 7.1.3 en 13.1.2</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las 60 horas.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o ajustar las horas.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7.1.3</w:t>
        <w:tab/>
      </w:r>
      <w:r>
        <w:rPr>
          <w:rFonts w:ascii="Century Gothic" w:hAnsi="Century Gothic" w:cs="Century Gothic" w:eastAsia="Century Gothic"/>
          <w:b/>
          <w:i w:val="0"/>
          <w:sz w:val="22"/>
        </w:rPr>
        <w:t>Horas de interacción social del estudiante</w:t>
      </w:r>
    </w:p>
    <w:p>
      <w:pPr>
        <w:spacing w:before="0" w:after="200" w:line="240" w:lineRule="auto"/>
        <w:jc w:val="both"/>
      </w:pPr>
      <w:r>
        <w:rPr>
          <w:rFonts w:ascii="Century Gothic" w:hAnsi="Century Gothic" w:cs="Century Gothic" w:eastAsia="Century Gothic"/>
          <w:b w:val="0"/>
          <w:i w:val="0"/>
          <w:sz w:val="20"/>
        </w:rPr>
        <w:t>Cada estudiante acredita un mínimo de 60 horas de interacción social demostrables durante la carrera, distribuidas en 20 horas en cada uno de los años tercero, cuarto y quinto, en actividades de las líneas del Cuadro 1: consultoría social contable, transferencia de conocimiento o vinculación con el medio profesional. Las horas no se superponen con las de práctica preprofesional del punto 4.8.</w:t>
      </w:r>
    </w:p>
    <w:p>
      <w:pPr>
        <w:keepNext/>
        <w:spacing w:before="40" w:after="80" w:line="240" w:lineRule="auto"/>
        <w:jc w:val="center"/>
      </w:pPr>
      <w:r>
        <w:rPr>
          <w:rFonts w:ascii="Century Gothic" w:hAnsi="Century Gothic" w:cs="Century Gothic" w:eastAsia="Century Gothic"/>
          <w:b/>
          <w:i w:val="0"/>
          <w:sz w:val="20"/>
        </w:rPr>
        <w:t>Cuadro [N]. Acreditación de las horas de interacción social</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Aspecto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Regla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Actividades válidas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Asesoría gratuita en contabilidad, tributación y educación financiera; ferias educativas y de investigación; talleres para organizaciones sociales; apoyo a los programas desconcentrados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Evidencias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de actividad aprobado por el docente responsable, registro de asistencia firmado por la organización beneficiaria e informe breve con resultados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Responsable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 coordinador de interacción social designado por la Dirección de Carrera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Acreditación</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Registro en el historial académico; requisito para el certificado de conclusión de estudios</w:t>
            </w:r>
          </w:p>
        </w:tc>
      </w:tr>
    </w:tbl>
    <w:p>
      <w:pPr>
        <w:spacing w:before="40" w:after="200" w:line="240" w:lineRule="auto"/>
        <w:jc w:val="left"/>
      </w:pPr>
      <w:r>
        <w:rPr>
          <w:rFonts w:ascii="Century Gothic" w:hAnsi="Century Gothic" w:cs="Century Gothic" w:eastAsia="Century Gothic"/>
          <w:b w:val="0"/>
          <w:i w:val="0"/>
          <w:sz w:val="16"/>
        </w:rPr>
        <w:t>Fuente: elaboración con base en el Artículo 12 de la Resolución HCU N.º 032/2025 y el punto 7.1.</w:t>
      </w:r>
    </w:p>
    <w:p>
      <w:pPr>
        <w:keepNext/>
        <w:spacing w:before="120" w:after="200" w:line="240" w:lineRule="auto"/>
        <w:jc w:val="left"/>
      </w:pPr>
      <w:r>
        <w:rPr>
          <w:rFonts w:ascii="Century Gothic" w:hAnsi="Century Gothic" w:cs="Century Gothic" w:eastAsia="Century Gothic"/>
          <w:b/>
          <w:i w:val="0"/>
          <w:sz w:val="24"/>
        </w:rPr>
        <w:t>Propuesta 17. Número mínimo y máximo de estudiantes por paralelo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8.6 Número de estudiantes por asignatura.</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el último párrafo de 8.6 («La definición de la cantidad de estudiantes mínima y máxima…»).</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Organización, criterio 2 (calificación actual: no cumple); coherencia con 11.1.1 y 11.2.3</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la Comisión confirma los mínimos y máximos.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los valores, que coinciden con las metas de 80 y 60 estudiantes del punto 11.1.1.</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Para un trabajo por competencias con evaluación continua, el Rediseño Curricular fija los siguientes límites por paralelo. El Director de Carrera habilita los paralelos dentro de estos límites, según las horas docentes disponibles:</w:t>
      </w:r>
    </w:p>
    <w:p>
      <w:pPr>
        <w:keepNext/>
        <w:spacing w:before="40" w:after="80" w:line="240" w:lineRule="auto"/>
        <w:jc w:val="center"/>
      </w:pPr>
      <w:r>
        <w:rPr>
          <w:rFonts w:ascii="Century Gothic" w:hAnsi="Century Gothic" w:cs="Century Gothic" w:eastAsia="Century Gothic"/>
          <w:b/>
          <w:i w:val="0"/>
          <w:sz w:val="20"/>
        </w:rPr>
        <w:t>Cuadro [N]. Estudiantes por paralelo</w:t>
      </w:r>
    </w:p>
    <w:tbl>
      <w:tblPr>
        <w:tblW w:type="auto" w:w="0"/>
        <w:jc w:val="center"/>
        <w:tblLayout w:type="fixed"/>
        <w:tblLook w:firstColumn="1" w:firstRow="1" w:lastColumn="0" w:lastRow="0" w:noHBand="0" w:noVBand="1" w:val="04A0"/>
      </w:tblPr>
      <w:tblGrid>
        <w:gridCol w:w="3969"/>
        <w:gridCol w:w="1417"/>
        <w:gridCol w:w="1814"/>
        <w:gridCol w:w="1871"/>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 de actividad</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Mínimo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Máximo 2027-2029</w:t>
            </w:r>
          </w:p>
        </w:tc>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Máximo desde 2030</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Asignaturas teórico-prácticas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80</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60</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Laboratorio de computación</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35</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35</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Gabinetes y Taller de Grado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30</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Cursos de temporada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60</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60</w:t>
            </w:r>
          </w:p>
        </w:tc>
      </w:tr>
    </w:tbl>
    <w:p>
      <w:pPr>
        <w:spacing w:before="40" w:after="200" w:line="240" w:lineRule="auto"/>
        <w:jc w:val="left"/>
      </w:pPr>
      <w:r>
        <w:rPr>
          <w:rFonts w:ascii="Century Gothic" w:hAnsi="Century Gothic" w:cs="Century Gothic" w:eastAsia="Century Gothic"/>
          <w:b w:val="0"/>
          <w:i w:val="0"/>
          <w:sz w:val="16"/>
        </w:rPr>
        <w:t>Fuente: elaboración con base en los puntos 10.4, 11.1 y 11.2.3.</w:t>
      </w:r>
    </w:p>
    <w:p>
      <w:pPr>
        <w:spacing w:before="0" w:after="200" w:line="240" w:lineRule="auto"/>
        <w:jc w:val="both"/>
      </w:pPr>
      <w:r>
        <w:rPr>
          <w:rFonts w:ascii="Century Gothic" w:hAnsi="Century Gothic" w:cs="Century Gothic" w:eastAsia="Century Gothic"/>
          <w:b w:val="0"/>
          <w:i w:val="0"/>
          <w:sz w:val="20"/>
        </w:rPr>
        <w:t>Las metas de 80 estudiantes, que requieren unos 302 paralelos, y de 60 estudiantes, unos 402 paralelos, son las que sustentan los requerimientos de los puntos 11.1.1 y 11.2.3.</w:t>
      </w:r>
    </w:p>
    <w:p>
      <w:pPr>
        <w:keepNext/>
        <w:spacing w:before="120" w:after="200" w:line="240" w:lineRule="auto"/>
        <w:jc w:val="left"/>
      </w:pPr>
      <w:r>
        <w:rPr>
          <w:rFonts w:ascii="Century Gothic" w:hAnsi="Century Gothic" w:cs="Century Gothic" w:eastAsia="Century Gothic"/>
          <w:b/>
          <w:i w:val="0"/>
          <w:sz w:val="24"/>
        </w:rPr>
        <w:t>Propuesta 18. Metas cuantitativas de actualización bibliográfica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9.1.4 Política de actualización bibliográfica.</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final de 9.1.4. Corregir además la contradicción entre el Cuadro 2, que califica de «Actualizada» la bibliografía de CPA-102 y CPA-505, y el Cuadro 3, que dice «Sin títulos».</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8, num. 9; Art. 12, Material bibliográfico</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y C: la Comisión confirma las metas y la Biblioteca calcula las cantidades.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Confirmar las metas y asignar a la Biblioteca el cálculo por asignatura.</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Metas: hasta el inicio de cada año del Rediseño Curricular, cada asignatura de ese año contará con al menos tres títulos de su bibliografía básica editados en los últimos diez años, con un ejemplar físico por cada 15 estudiantes inscritos o con acceso digital equivalente. La Biblioteca presenta cada gestión al Honorable Consejo de Carrera el plan de adquisiciones por asignatura, con cantidades y costos, conciliado con la bibliografía de los planes de asignatura del punto 4.5.</w:t>
      </w:r>
    </w:p>
    <w:p>
      <w:pPr>
        <w:keepNext/>
        <w:spacing w:before="120" w:after="200" w:line="240" w:lineRule="auto"/>
        <w:jc w:val="left"/>
      </w:pPr>
      <w:r>
        <w:rPr>
          <w:rFonts w:ascii="Century Gothic" w:hAnsi="Century Gothic" w:cs="Century Gothic" w:eastAsia="Century Gothic"/>
          <w:b/>
          <w:i w:val="0"/>
          <w:sz w:val="24"/>
        </w:rPr>
        <w:t>Propuesta 19. Presupuesto plurianual de implementación</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11.3, después de 11.3.4.</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un subpunto nuevo al final de 11.3.</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11, par. V (alcance económico); Art. 12, Implementación</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C: la Dirección Administrativa Financiera calcula los montos.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Encargar el cálculo de los costos y la fuente de cada rubro.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11.3.5</w:t>
        <w:tab/>
      </w:r>
      <w:r>
        <w:rPr>
          <w:rFonts w:ascii="Century Gothic" w:hAnsi="Century Gothic" w:cs="Century Gothic" w:eastAsia="Century Gothic"/>
          <w:b/>
          <w:i w:val="0"/>
          <w:sz w:val="22"/>
        </w:rPr>
        <w:t>Presupuesto plurianual de implementación</w:t>
      </w:r>
    </w:p>
    <w:p>
      <w:pPr>
        <w:spacing w:before="0" w:after="200" w:line="240" w:lineRule="auto"/>
        <w:jc w:val="both"/>
      </w:pPr>
      <w:r>
        <w:rPr>
          <w:rFonts w:ascii="Century Gothic" w:hAnsi="Century Gothic" w:cs="Century Gothic" w:eastAsia="Century Gothic"/>
          <w:b w:val="0"/>
          <w:i w:val="0"/>
          <w:sz w:val="20"/>
        </w:rPr>
        <w:t>Los requerimientos de los puntos 11.1.4, 11.2.3 y 15 se cuantifican en el siguiente presupuesto plurianual, con su fuente de financiamiento:</w:t>
      </w:r>
    </w:p>
    <w:p>
      <w:pPr>
        <w:keepNext/>
        <w:spacing w:before="40" w:after="80" w:line="240" w:lineRule="auto"/>
        <w:jc w:val="center"/>
      </w:pPr>
      <w:r>
        <w:rPr>
          <w:rFonts w:ascii="Century Gothic" w:hAnsi="Century Gothic" w:cs="Century Gothic" w:eastAsia="Century Gothic"/>
          <w:b/>
          <w:i w:val="0"/>
          <w:sz w:val="20"/>
        </w:rPr>
        <w:t>Cuadro [N]. Presupuesto plurianual de implementación 2027-2031</w:t>
      </w:r>
    </w:p>
    <w:tbl>
      <w:tblPr>
        <w:tblW w:type="auto" w:w="0"/>
        <w:jc w:val="center"/>
        <w:tblLayout w:type="fixed"/>
        <w:tblLook w:firstColumn="1" w:firstRow="1" w:lastColumn="0" w:lastRow="0" w:noHBand="0" w:noVBand="1" w:val="04A0"/>
      </w:tblPr>
      <w:tblGrid>
        <w:gridCol w:w="2835"/>
        <w:gridCol w:w="907"/>
        <w:gridCol w:w="907"/>
        <w:gridCol w:w="907"/>
        <w:gridCol w:w="907"/>
        <w:gridCol w:w="907"/>
        <w:gridCol w:w="1701"/>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Rubro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2027</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2028</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2029</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2030</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2031</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Fuente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Paralelos adicionales, 75 a la meta de 80 estudiantes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Cargas de tiempo completo para tutoría, investigación y prácticas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Renovación de equipos de laboratorio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profesional y licencias académicas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Bibliografía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Conectividad y plataforma virtual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Mobiliario y equipamiento de aulas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Capacitación docente</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Total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Fuente: elaboración con base en los puntos 11.1.4, 11.2.3 y 15.</w:t>
      </w:r>
    </w:p>
    <w:p>
      <w:pPr>
        <w:keepNext/>
        <w:spacing w:before="120" w:after="200" w:line="240" w:lineRule="auto"/>
        <w:jc w:val="left"/>
      </w:pPr>
      <w:r>
        <w:rPr>
          <w:rFonts w:ascii="Century Gothic" w:hAnsi="Century Gothic" w:cs="Century Gothic" w:eastAsia="Century Gothic"/>
          <w:b/>
          <w:i w:val="0"/>
          <w:sz w:val="24"/>
        </w:rPr>
        <w:t>Propuesta 20. Monitoreo de la implementación</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11.3.</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un subpunto nuevo después de 11.3.5.</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Implementación</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11.3.6</w:t>
        <w:tab/>
      </w:r>
      <w:r>
        <w:rPr>
          <w:rFonts w:ascii="Century Gothic" w:hAnsi="Century Gothic" w:cs="Century Gothic" w:eastAsia="Century Gothic"/>
          <w:b/>
          <w:i w:val="0"/>
          <w:sz w:val="22"/>
        </w:rPr>
        <w:t>Monitoreo de la implementación</w:t>
      </w:r>
    </w:p>
    <w:p>
      <w:pPr>
        <w:spacing w:before="0" w:after="200" w:line="240" w:lineRule="auto"/>
        <w:jc w:val="both"/>
      </w:pPr>
      <w:r>
        <w:rPr>
          <w:rFonts w:ascii="Century Gothic" w:hAnsi="Century Gothic" w:cs="Century Gothic" w:eastAsia="Century Gothic"/>
          <w:b w:val="0"/>
          <w:i w:val="0"/>
          <w:sz w:val="20"/>
        </w:rPr>
        <w:t>La implementación se monitorea en los seis aspectos que exige el Artículo 12 de la Resolución HCU N.º 032/2025, con los siguientes indicadores, en complemento de los instrumentos del punto 12.1.4:</w:t>
      </w:r>
    </w:p>
    <w:p>
      <w:pPr>
        <w:keepNext/>
        <w:spacing w:before="40" w:after="80" w:line="240" w:lineRule="auto"/>
        <w:jc w:val="center"/>
      </w:pPr>
      <w:r>
        <w:rPr>
          <w:rFonts w:ascii="Century Gothic" w:hAnsi="Century Gothic" w:cs="Century Gothic" w:eastAsia="Century Gothic"/>
          <w:b/>
          <w:i w:val="0"/>
          <w:sz w:val="20"/>
        </w:rPr>
        <w:t>Cuadro [N]. Matriz de monitoreo de la implementación</w:t>
      </w:r>
    </w:p>
    <w:tbl>
      <w:tblPr>
        <w:tblW w:type="auto" w:w="0"/>
        <w:jc w:val="center"/>
        <w:tblLayout w:type="fixed"/>
        <w:tblLook w:firstColumn="1" w:firstRow="1" w:lastColumn="0" w:lastRow="0" w:noHBand="0" w:noVBand="1" w:val="04A0"/>
      </w:tblPr>
      <w:tblGrid>
        <w:gridCol w:w="1814"/>
        <w:gridCol w:w="2438"/>
        <w:gridCol w:w="1871"/>
        <w:gridCol w:w="1701"/>
        <w:gridCol w:w="1247"/>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Aspecto</w:t>
            </w:r>
          </w:p>
        </w:tc>
        <w:tc>
          <w:tcPr>
            <w:tcW w:type="dxa" w:w="24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Indicador</w:t>
            </w:r>
          </w:p>
        </w:tc>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Fuente</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Responsable</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Frecuencia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Planes de asignatura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Porcentaje de avance real frente al programado</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Formulario 1 del punto 12.1.4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Jefaturas de área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Semestral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Logro de elementos y unidades de competencia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Porcentaje de estudiantes que alcanzan cada elemento de competencia</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Actas y rúbricas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Docentes y Comisión de Evaluación Curricular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Recursos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Disponibilidad de laboratorios, software y bibliografía por asignatura</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Inventarios y Biblioteca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Dirección de Carrera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Estrategias de enseñanza y aprendizaje</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Aplicación de las estrategias previstas en los planes de asignatura</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Formulario 2 del punto 12.1.4 y encuesta estudiantil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Comisión de Evaluación Curricular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Semestral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Investigación formativa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Horas de investigación registradas por estudiante y trabajos de grado por línea</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Registro del Instituto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Director del Instituto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Interacción social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Horas de interacción social acreditadas por estudiante</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Registro del docente coordinador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Dirección de Carrera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w:t>
            </w:r>
          </w:p>
        </w:tc>
      </w:tr>
    </w:tbl>
    <w:p>
      <w:pPr>
        <w:spacing w:before="40" w:after="200" w:line="240" w:lineRule="auto"/>
        <w:jc w:val="left"/>
      </w:pPr>
      <w:r>
        <w:rPr>
          <w:rFonts w:ascii="Century Gothic" w:hAnsi="Century Gothic" w:cs="Century Gothic" w:eastAsia="Century Gothic"/>
          <w:b w:val="0"/>
          <w:i w:val="0"/>
          <w:sz w:val="16"/>
        </w:rPr>
        <w:t>Fuente: Artículo 12 de la Resolución HCU N.º 032/2025 y punto 12.1.4.</w:t>
      </w:r>
    </w:p>
    <w:p>
      <w:pPr>
        <w:keepNext/>
        <w:spacing w:before="120" w:after="200" w:line="240" w:lineRule="auto"/>
        <w:jc w:val="left"/>
      </w:pPr>
      <w:r>
        <w:rPr>
          <w:rFonts w:ascii="Century Gothic" w:hAnsi="Century Gothic" w:cs="Century Gothic" w:eastAsia="Century Gothic"/>
          <w:b/>
          <w:i w:val="0"/>
          <w:sz w:val="24"/>
        </w:rPr>
        <w:t>Propuesta 21. Instrumento de seguimiento a titulados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12.2 Estrategias de seguimiento a titulados.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al final de 12.2.</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8, num. 12</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spacing w:before="40" w:after="80" w:line="240" w:lineRule="auto"/>
        <w:jc w:val="center"/>
      </w:pPr>
      <w:r>
        <w:rPr>
          <w:rFonts w:ascii="Century Gothic" w:hAnsi="Century Gothic" w:cs="Century Gothic" w:eastAsia="Century Gothic"/>
          <w:b/>
          <w:i w:val="0"/>
          <w:sz w:val="20"/>
        </w:rPr>
        <w:t>Cuadro [N]. Seguimiento a titulados</w:t>
      </w:r>
    </w:p>
    <w:tbl>
      <w:tblPr>
        <w:tblW w:type="auto" w:w="0"/>
        <w:jc w:val="center"/>
        <w:tblLayout w:type="fixed"/>
        <w:tblLook w:firstColumn="1" w:firstRow="1" w:lastColumn="0" w:lastRow="0" w:noHBand="0" w:noVBand="1" w:val="04A0"/>
      </w:tblPr>
      <w:tblGrid>
        <w:gridCol w:w="1984"/>
        <w:gridCol w:w="7087"/>
      </w:tblGrid>
      <w:tr>
        <w:trPr>
          <w:tblHeader/>
        </w:trPr>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Componente</w:t>
            </w:r>
          </w:p>
        </w:tc>
        <w:tc>
          <w:tcPr>
            <w:tcW w:type="dxa" w:w="70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Definición</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Responsable</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Comisión de Evaluación Curricular, con apoyo de la Unidad de Kárdex Académico y del Centro de Cómputo</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Población</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Titulados de cada cohorte, encuestados al año, a los tres años y a los cinco años de su titulación</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Muestra</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Censo de la cohorte o muestra aleatoria con un nivel de confianza del 95 % y un error máximo del 5 %</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Dimensiones</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Inserción laboral y tiempo hasta el primer empleo; sector y cargo; ingresos; pertinencia de las competencias del perfil; necesidades de actualización; satisfacción con la formación</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Instrumento</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Cuestionario en línea integrado al Sistema de Información Académica, con las dimensiones anteriores y escalas fijas para asegurar la comparabilidad entre cohortes</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Cronograma</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Línea base con los titulados del Plan 2013 en 2027; primera medición del Rediseño Curricular con la primera promoción, en 2032</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Uso de los resultados</w:t>
            </w:r>
          </w:p>
        </w:tc>
        <w:tc>
          <w:tcPr>
            <w:tcW w:type="dxa" w:w="70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Informe anual al Honorable Consejo de Carrera e insumo para la complementación curricular y el siguiente rediseño</w:t>
            </w:r>
          </w:p>
        </w:tc>
      </w:tr>
    </w:tbl>
    <w:p>
      <w:pPr>
        <w:spacing w:before="40" w:after="200" w:line="240" w:lineRule="auto"/>
        <w:jc w:val="left"/>
      </w:pPr>
      <w:r>
        <w:rPr>
          <w:rFonts w:ascii="Century Gothic" w:hAnsi="Century Gothic" w:cs="Century Gothic" w:eastAsia="Century Gothic"/>
          <w:b w:val="0"/>
          <w:i w:val="0"/>
          <w:sz w:val="16"/>
        </w:rPr>
        <w:t>Fuente: elaboración con base en el punto 12.</w:t>
      </w:r>
    </w:p>
    <w:p>
      <w:pPr>
        <w:keepNext/>
        <w:spacing w:before="120" w:after="200" w:line="240" w:lineRule="auto"/>
        <w:jc w:val="left"/>
      </w:pPr>
      <w:r>
        <w:rPr>
          <w:rFonts w:ascii="Century Gothic" w:hAnsi="Century Gothic" w:cs="Century Gothic" w:eastAsia="Century Gothic"/>
          <w:b/>
          <w:i w:val="0"/>
          <w:sz w:val="24"/>
        </w:rPr>
        <w:t>Propuesta 22. Reglamento de Prácticas Preprofesionales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13.1.</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como subpunto nuevo después de 13.1.4 y cambiar en el Cuadro 2 de 13.1.2 la situación del reglamento de «Elaborar» a «Proyecto en 13.1.5».</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8, num. 13; Art. 12, Reglamentación y Prácticas</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depende de las horas de la Propuesta 10.</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el proyecto para su trámite ante el Honorable Consejo de Carrera.</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13.1.5</w:t>
        <w:tab/>
      </w:r>
      <w:r>
        <w:rPr>
          <w:rFonts w:ascii="Century Gothic" w:hAnsi="Century Gothic" w:cs="Century Gothic" w:eastAsia="Century Gothic"/>
          <w:b/>
          <w:i w:val="0"/>
          <w:sz w:val="22"/>
        </w:rPr>
        <w:t>Reglamento de Prácticas Preprofesionales</w:t>
      </w:r>
    </w:p>
    <w:p>
      <w:pPr>
        <w:spacing w:before="0" w:after="200" w:line="240" w:lineRule="auto"/>
        <w:jc w:val="both"/>
      </w:pPr>
      <w:r>
        <w:rPr>
          <w:rFonts w:ascii="Century Gothic" w:hAnsi="Century Gothic" w:cs="Century Gothic" w:eastAsia="Century Gothic"/>
          <w:b/>
          <w:i w:val="0"/>
          <w:sz w:val="20"/>
        </w:rPr>
        <w:t>Artículo 1. Objeto.</w:t>
      </w:r>
      <w:r>
        <w:rPr>
          <w:rFonts w:ascii="Century Gothic" w:hAnsi="Century Gothic" w:cs="Century Gothic" w:eastAsia="Century Gothic"/>
          <w:b w:val="0"/>
          <w:i w:val="0"/>
          <w:sz w:val="20"/>
        </w:rPr>
        <w:t xml:space="preserve"> Regular la planificación, ejecución, supervisión, evaluación y acreditación de las prácticas preprofesionales de los estudiantes del Rediseño Curricular, conforme al Artículo 12 de la Resolución HCU N.º 032/2025 y al punto 4.8.</w:t>
      </w:r>
    </w:p>
    <w:p>
      <w:pPr>
        <w:spacing w:before="0" w:after="200" w:line="240" w:lineRule="auto"/>
        <w:jc w:val="both"/>
      </w:pPr>
      <w:r>
        <w:rPr>
          <w:rFonts w:ascii="Century Gothic" w:hAnsi="Century Gothic" w:cs="Century Gothic" w:eastAsia="Century Gothic"/>
          <w:b/>
          <w:i w:val="0"/>
          <w:sz w:val="20"/>
        </w:rPr>
        <w:t>Artículo 2. Carga horaria.</w:t>
      </w:r>
      <w:r>
        <w:rPr>
          <w:rFonts w:ascii="Century Gothic" w:hAnsi="Century Gothic" w:cs="Century Gothic" w:eastAsia="Century Gothic"/>
          <w:b w:val="0"/>
          <w:i w:val="0"/>
          <w:sz w:val="20"/>
        </w:rPr>
        <w:t xml:space="preserve"> El estudiante cumple un mínimo de 240 horas de práctica en organizaciones: 60 horas en tercer año, 80 en cuarto y 100 en quinto. Las horas son requisito para el certificado de conclusión de estudios.</w:t>
      </w:r>
    </w:p>
    <w:p>
      <w:pPr>
        <w:spacing w:before="0" w:after="200" w:line="240" w:lineRule="auto"/>
        <w:jc w:val="both"/>
      </w:pPr>
      <w:r>
        <w:rPr>
          <w:rFonts w:ascii="Century Gothic" w:hAnsi="Century Gothic" w:cs="Century Gothic" w:eastAsia="Century Gothic"/>
          <w:b/>
          <w:i w:val="0"/>
          <w:sz w:val="20"/>
        </w:rPr>
        <w:t>Artículo 3. Habilitación.</w:t>
      </w:r>
      <w:r>
        <w:rPr>
          <w:rFonts w:ascii="Century Gothic" w:hAnsi="Century Gothic" w:cs="Century Gothic" w:eastAsia="Century Gothic"/>
          <w:b w:val="0"/>
          <w:i w:val="0"/>
          <w:sz w:val="20"/>
        </w:rPr>
        <w:t xml:space="preserve"> Se habilita el estudiante inscrito en las asignaturas vinculadas de su año, señaladas en el punto 4.8.3, con matrícula vigente y plan de práctica aprobado.</w:t>
      </w:r>
    </w:p>
    <w:p>
      <w:pPr>
        <w:spacing w:before="0" w:after="200" w:line="240" w:lineRule="auto"/>
        <w:jc w:val="both"/>
      </w:pPr>
      <w:r>
        <w:rPr>
          <w:rFonts w:ascii="Century Gothic" w:hAnsi="Century Gothic" w:cs="Century Gothic" w:eastAsia="Century Gothic"/>
          <w:b/>
          <w:i w:val="0"/>
          <w:sz w:val="20"/>
        </w:rPr>
        <w:t>Artículo 4. Entidades receptoras.</w:t>
      </w:r>
      <w:r>
        <w:rPr>
          <w:rFonts w:ascii="Century Gothic" w:hAnsi="Century Gothic" w:cs="Century Gothic" w:eastAsia="Century Gothic"/>
          <w:b w:val="0"/>
          <w:i w:val="0"/>
          <w:sz w:val="20"/>
        </w:rPr>
        <w:t xml:space="preserve"> Las prácticas se realizan en entidades públicas, firmas de auditoría, empresas y organizaciones sociales con convenio, o en dependencias de la UMSA. La Dirección de Carrera publica cada gestión la nómina de plazas disponibles.</w:t>
      </w:r>
    </w:p>
    <w:p>
      <w:pPr>
        <w:spacing w:before="0" w:after="200" w:line="240" w:lineRule="auto"/>
        <w:jc w:val="both"/>
      </w:pPr>
      <w:r>
        <w:rPr>
          <w:rFonts w:ascii="Century Gothic" w:hAnsi="Century Gothic" w:cs="Century Gothic" w:eastAsia="Century Gothic"/>
          <w:b/>
          <w:i w:val="0"/>
          <w:sz w:val="20"/>
        </w:rPr>
        <w:t>Artículo 5. Tutores.</w:t>
      </w:r>
      <w:r>
        <w:rPr>
          <w:rFonts w:ascii="Century Gothic" w:hAnsi="Century Gothic" w:cs="Century Gothic" w:eastAsia="Century Gothic"/>
          <w:b w:val="0"/>
          <w:i w:val="0"/>
          <w:sz w:val="20"/>
        </w:rPr>
        <w:t xml:space="preserve"> Cada practicante tiene un tutor de la entidad receptora, profesional del área, y un tutor académico, docente de la asignatura vinculada, que aprueba el plan, realiza el seguimiento y evalúa los resultados.</w:t>
      </w:r>
    </w:p>
    <w:p>
      <w:pPr>
        <w:spacing w:before="0" w:after="200" w:line="240" w:lineRule="auto"/>
        <w:jc w:val="both"/>
      </w:pPr>
      <w:r>
        <w:rPr>
          <w:rFonts w:ascii="Century Gothic" w:hAnsi="Century Gothic" w:cs="Century Gothic" w:eastAsia="Century Gothic"/>
          <w:b/>
          <w:i w:val="0"/>
          <w:sz w:val="20"/>
        </w:rPr>
        <w:t>Artículo 6. Plan e informe.</w:t>
      </w:r>
      <w:r>
        <w:rPr>
          <w:rFonts w:ascii="Century Gothic" w:hAnsi="Century Gothic" w:cs="Century Gothic" w:eastAsia="Century Gothic"/>
          <w:b w:val="0"/>
          <w:i w:val="0"/>
          <w:sz w:val="20"/>
        </w:rPr>
        <w:t xml:space="preserve"> El estudiante presenta un plan de actividades vinculado a las competencias de su año y, al concluir, un informe con evidencias de desempeño y de producto, con la conformidad del tutor de la entidad.</w:t>
      </w:r>
    </w:p>
    <w:p>
      <w:pPr>
        <w:spacing w:before="0" w:after="200" w:line="240" w:lineRule="auto"/>
        <w:jc w:val="both"/>
      </w:pPr>
      <w:r>
        <w:rPr>
          <w:rFonts w:ascii="Century Gothic" w:hAnsi="Century Gothic" w:cs="Century Gothic" w:eastAsia="Century Gothic"/>
          <w:b/>
          <w:i w:val="0"/>
          <w:sz w:val="20"/>
        </w:rPr>
        <w:t>Artículo 7. Evaluación.</w:t>
      </w:r>
      <w:r>
        <w:rPr>
          <w:rFonts w:ascii="Century Gothic" w:hAnsi="Century Gothic" w:cs="Century Gothic" w:eastAsia="Century Gothic"/>
          <w:b w:val="0"/>
          <w:i w:val="0"/>
          <w:sz w:val="20"/>
        </w:rPr>
        <w:t xml:space="preserve"> El tutor académico evalúa el informe con rúbrica, conforme al punto 4.7. La calificación se integra a la evaluación de la asignatura vinculada en la proporción que fije su plan de asignatura.</w:t>
      </w:r>
    </w:p>
    <w:p>
      <w:pPr>
        <w:spacing w:before="0" w:after="200" w:line="240" w:lineRule="auto"/>
        <w:jc w:val="both"/>
      </w:pPr>
      <w:r>
        <w:rPr>
          <w:rFonts w:ascii="Century Gothic" w:hAnsi="Century Gothic" w:cs="Century Gothic" w:eastAsia="Century Gothic"/>
          <w:b/>
          <w:i w:val="0"/>
          <w:sz w:val="20"/>
        </w:rPr>
        <w:t>Artículo 8. Reconocimiento de la experiencia laboral.</w:t>
      </w:r>
      <w:r>
        <w:rPr>
          <w:rFonts w:ascii="Century Gothic" w:hAnsi="Century Gothic" w:cs="Century Gothic" w:eastAsia="Century Gothic"/>
          <w:b w:val="0"/>
          <w:i w:val="0"/>
          <w:sz w:val="20"/>
        </w:rPr>
        <w:t xml:space="preserve"> La experiencia laboral del estudiante en áreas contables, tributarias, financieras o de auditoría se reconoce como práctica, previa verificación de su pertinencia por el tutor académico y presentación de la certificación del empleador.</w:t>
      </w:r>
    </w:p>
    <w:p>
      <w:pPr>
        <w:spacing w:before="0" w:after="200" w:line="240" w:lineRule="auto"/>
        <w:jc w:val="both"/>
      </w:pPr>
      <w:r>
        <w:rPr>
          <w:rFonts w:ascii="Century Gothic" w:hAnsi="Century Gothic" w:cs="Century Gothic" w:eastAsia="Century Gothic"/>
          <w:b/>
          <w:i w:val="0"/>
          <w:sz w:val="20"/>
        </w:rPr>
        <w:t>Artículo 9. Acreditación.</w:t>
      </w:r>
      <w:r>
        <w:rPr>
          <w:rFonts w:ascii="Century Gothic" w:hAnsi="Century Gothic" w:cs="Century Gothic" w:eastAsia="Century Gothic"/>
          <w:b w:val="0"/>
          <w:i w:val="0"/>
          <w:sz w:val="20"/>
        </w:rPr>
        <w:t xml:space="preserve"> La Unidad de Kárdex Académico registra las horas acreditadas en el historial académico del estudiante.</w:t>
      </w:r>
    </w:p>
    <w:p>
      <w:pPr>
        <w:spacing w:before="0" w:after="200" w:line="240" w:lineRule="auto"/>
        <w:jc w:val="both"/>
      </w:pPr>
      <w:r>
        <w:rPr>
          <w:rFonts w:ascii="Century Gothic" w:hAnsi="Century Gothic" w:cs="Century Gothic" w:eastAsia="Century Gothic"/>
          <w:b/>
          <w:i w:val="0"/>
          <w:sz w:val="20"/>
        </w:rPr>
        <w:t>Artículo 10. Obligaciones del practicante.</w:t>
      </w:r>
      <w:r>
        <w:rPr>
          <w:rFonts w:ascii="Century Gothic" w:hAnsi="Century Gothic" w:cs="Century Gothic" w:eastAsia="Century Gothic"/>
          <w:b w:val="0"/>
          <w:i w:val="0"/>
          <w:sz w:val="20"/>
        </w:rPr>
        <w:t xml:space="preserve"> Cumplir el plan y el horario acordados, guardar la confidencialidad de la información de la entidad y actuar conforme al Código de Ética del IESBA.</w:t>
      </w:r>
    </w:p>
    <w:p>
      <w:pPr>
        <w:spacing w:before="0" w:after="200" w:line="240" w:lineRule="auto"/>
        <w:jc w:val="both"/>
      </w:pPr>
      <w:r>
        <w:rPr>
          <w:rFonts w:ascii="Century Gothic" w:hAnsi="Century Gothic" w:cs="Century Gothic" w:eastAsia="Century Gothic"/>
          <w:b/>
          <w:i w:val="0"/>
          <w:sz w:val="20"/>
        </w:rPr>
        <w:t>Artículo 11. Casos no previstos.</w:t>
      </w:r>
      <w:r>
        <w:rPr>
          <w:rFonts w:ascii="Century Gothic" w:hAnsi="Century Gothic" w:cs="Century Gothic" w:eastAsia="Century Gothic"/>
          <w:b w:val="0"/>
          <w:i w:val="0"/>
          <w:sz w:val="20"/>
        </w:rPr>
        <w:t xml:space="preserve"> Los casos no previstos son resueltos por la Dirección de Carrera y, en su caso, por el Honorable Consejo de Carrera.</w:t>
      </w:r>
    </w:p>
    <w:p>
      <w:pPr>
        <w:keepNext/>
        <w:spacing w:before="120" w:after="200" w:line="240" w:lineRule="auto"/>
        <w:jc w:val="left"/>
      </w:pPr>
      <w:r>
        <w:rPr>
          <w:rFonts w:ascii="Century Gothic" w:hAnsi="Century Gothic" w:cs="Century Gothic" w:eastAsia="Century Gothic"/>
          <w:b/>
          <w:i w:val="0"/>
          <w:sz w:val="24"/>
        </w:rPr>
        <w:t>Propuesta 23. Reglamento de Interacción Social</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13.1.</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como subpunto nuevo después de 13.1.5 y cambiar en el Cuadro 2 de 13.1.2 la situación de «Elaborar» a «Proyecto en 13.1.6» y la referencia «Punto 7.1.3», que ya existirá.</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8, num. 13; Art. 12, Interacción social</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B: depende de las horas de la Propuesta 16.</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el proyecto para su trámite.</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13.1.6</w:t>
        <w:tab/>
      </w:r>
      <w:r>
        <w:rPr>
          <w:rFonts w:ascii="Century Gothic" w:hAnsi="Century Gothic" w:cs="Century Gothic" w:eastAsia="Century Gothic"/>
          <w:b/>
          <w:i w:val="0"/>
          <w:sz w:val="22"/>
        </w:rPr>
        <w:t>Reglamento de Interacción Social</w:t>
      </w:r>
    </w:p>
    <w:p>
      <w:pPr>
        <w:spacing w:before="0" w:after="200" w:line="240" w:lineRule="auto"/>
        <w:jc w:val="both"/>
      </w:pPr>
      <w:r>
        <w:rPr>
          <w:rFonts w:ascii="Century Gothic" w:hAnsi="Century Gothic" w:cs="Century Gothic" w:eastAsia="Century Gothic"/>
          <w:b/>
          <w:i w:val="0"/>
          <w:sz w:val="20"/>
        </w:rPr>
        <w:t>Artículo 1. Objeto.</w:t>
      </w:r>
      <w:r>
        <w:rPr>
          <w:rFonts w:ascii="Century Gothic" w:hAnsi="Century Gothic" w:cs="Century Gothic" w:eastAsia="Century Gothic"/>
          <w:b w:val="0"/>
          <w:i w:val="0"/>
          <w:sz w:val="20"/>
        </w:rPr>
        <w:t xml:space="preserve"> Regular las actividades de interacción social de los estudiantes y su acreditación, conforme al Artículo 12 de la Resolución HCU N.º 032/2025, a la Resolución N.º 088/2014 del XII Congreso Nacional de Universidades y al punto 7.</w:t>
      </w:r>
    </w:p>
    <w:p>
      <w:pPr>
        <w:spacing w:before="0" w:after="200" w:line="240" w:lineRule="auto"/>
        <w:jc w:val="both"/>
      </w:pPr>
      <w:r>
        <w:rPr>
          <w:rFonts w:ascii="Century Gothic" w:hAnsi="Century Gothic" w:cs="Century Gothic" w:eastAsia="Century Gothic"/>
          <w:b/>
          <w:i w:val="0"/>
          <w:sz w:val="20"/>
        </w:rPr>
        <w:t>Artículo 2. Carga horaria.</w:t>
      </w:r>
      <w:r>
        <w:rPr>
          <w:rFonts w:ascii="Century Gothic" w:hAnsi="Century Gothic" w:cs="Century Gothic" w:eastAsia="Century Gothic"/>
          <w:b w:val="0"/>
          <w:i w:val="0"/>
          <w:sz w:val="20"/>
        </w:rPr>
        <w:t xml:space="preserve"> El estudiante acredita un mínimo de 60 horas de interacción social, 20 en cada uno de los años tercero, cuarto y quinto, que no se superponen con las de práctica preprofesional.</w:t>
      </w:r>
    </w:p>
    <w:p>
      <w:pPr>
        <w:spacing w:before="0" w:after="200" w:line="240" w:lineRule="auto"/>
        <w:jc w:val="both"/>
      </w:pPr>
      <w:r>
        <w:rPr>
          <w:rFonts w:ascii="Century Gothic" w:hAnsi="Century Gothic" w:cs="Century Gothic" w:eastAsia="Century Gothic"/>
          <w:b/>
          <w:i w:val="0"/>
          <w:sz w:val="20"/>
        </w:rPr>
        <w:t>Artículo 3. Actividades válidas.</w:t>
      </w:r>
      <w:r>
        <w:rPr>
          <w:rFonts w:ascii="Century Gothic" w:hAnsi="Century Gothic" w:cs="Century Gothic" w:eastAsia="Century Gothic"/>
          <w:b w:val="0"/>
          <w:i w:val="0"/>
          <w:sz w:val="20"/>
        </w:rPr>
        <w:t xml:space="preserve"> Consultoría social contable, transferencia de conocimiento, ferias educativas y de investigación, talleres para organizaciones sociales y apoyo a los programas desconcentrados.</w:t>
      </w:r>
    </w:p>
    <w:p>
      <w:pPr>
        <w:spacing w:before="0" w:after="200" w:line="240" w:lineRule="auto"/>
        <w:jc w:val="both"/>
      </w:pPr>
      <w:r>
        <w:rPr>
          <w:rFonts w:ascii="Century Gothic" w:hAnsi="Century Gothic" w:cs="Century Gothic" w:eastAsia="Century Gothic"/>
          <w:b/>
          <w:i w:val="0"/>
          <w:sz w:val="20"/>
        </w:rPr>
        <w:t>Artículo 4. Coordinación.</w:t>
      </w:r>
      <w:r>
        <w:rPr>
          <w:rFonts w:ascii="Century Gothic" w:hAnsi="Century Gothic" w:cs="Century Gothic" w:eastAsia="Century Gothic"/>
          <w:b w:val="0"/>
          <w:i w:val="0"/>
          <w:sz w:val="20"/>
        </w:rPr>
        <w:t xml:space="preserve"> La Dirección de Carrera designa un docente coordinador de interacción social, que aprueba las actividades, supervisa su ejecución y certifica las horas.</w:t>
      </w:r>
    </w:p>
    <w:p>
      <w:pPr>
        <w:spacing w:before="0" w:after="200" w:line="240" w:lineRule="auto"/>
        <w:jc w:val="both"/>
      </w:pPr>
      <w:r>
        <w:rPr>
          <w:rFonts w:ascii="Century Gothic" w:hAnsi="Century Gothic" w:cs="Century Gothic" w:eastAsia="Century Gothic"/>
          <w:b/>
          <w:i w:val="0"/>
          <w:sz w:val="20"/>
        </w:rPr>
        <w:t>Artículo 5. Evidencias.</w:t>
      </w:r>
      <w:r>
        <w:rPr>
          <w:rFonts w:ascii="Century Gothic" w:hAnsi="Century Gothic" w:cs="Century Gothic" w:eastAsia="Century Gothic"/>
          <w:b w:val="0"/>
          <w:i w:val="0"/>
          <w:sz w:val="20"/>
        </w:rPr>
        <w:t xml:space="preserve"> Cada actividad requiere un plan aprobado, el registro de asistencia firmado por la organización beneficiaria y un informe breve con resultados.</w:t>
      </w:r>
    </w:p>
    <w:p>
      <w:pPr>
        <w:spacing w:before="0" w:after="200" w:line="240" w:lineRule="auto"/>
        <w:jc w:val="both"/>
      </w:pPr>
      <w:r>
        <w:rPr>
          <w:rFonts w:ascii="Century Gothic" w:hAnsi="Century Gothic" w:cs="Century Gothic" w:eastAsia="Century Gothic"/>
          <w:b/>
          <w:i w:val="0"/>
          <w:sz w:val="20"/>
        </w:rPr>
        <w:t>Artículo 6. Acreditación.</w:t>
      </w:r>
      <w:r>
        <w:rPr>
          <w:rFonts w:ascii="Century Gothic" w:hAnsi="Century Gothic" w:cs="Century Gothic" w:eastAsia="Century Gothic"/>
          <w:b w:val="0"/>
          <w:i w:val="0"/>
          <w:sz w:val="20"/>
        </w:rPr>
        <w:t xml:space="preserve"> La Unidad de Kárdex Académico registra las horas certificadas en el historial académico del estudiante; su cumplimiento es requisito para el certificado de conclusión de estudios.</w:t>
      </w:r>
    </w:p>
    <w:p>
      <w:pPr>
        <w:spacing w:before="0" w:after="200" w:line="240" w:lineRule="auto"/>
        <w:jc w:val="both"/>
      </w:pPr>
      <w:r>
        <w:rPr>
          <w:rFonts w:ascii="Century Gothic" w:hAnsi="Century Gothic" w:cs="Century Gothic" w:eastAsia="Century Gothic"/>
          <w:b/>
          <w:i w:val="0"/>
          <w:sz w:val="20"/>
        </w:rPr>
        <w:t>Artículo 7. Gratuidad.</w:t>
      </w:r>
      <w:r>
        <w:rPr>
          <w:rFonts w:ascii="Century Gothic" w:hAnsi="Century Gothic" w:cs="Century Gothic" w:eastAsia="Century Gothic"/>
          <w:b w:val="0"/>
          <w:i w:val="0"/>
          <w:sz w:val="20"/>
        </w:rPr>
        <w:t xml:space="preserve"> Los servicios que se prestan en el marco de la interacción social son gratuitos para los beneficiarios.</w:t>
      </w:r>
    </w:p>
    <w:p>
      <w:pPr>
        <w:keepNext/>
        <w:spacing w:before="120" w:after="200" w:line="240" w:lineRule="auto"/>
        <w:jc w:val="left"/>
      </w:pPr>
      <w:r>
        <w:rPr>
          <w:rFonts w:ascii="Century Gothic" w:hAnsi="Century Gothic" w:cs="Century Gothic" w:eastAsia="Century Gothic"/>
          <w:b/>
          <w:i w:val="0"/>
          <w:sz w:val="24"/>
        </w:rPr>
        <w:t>Propuesta 24. Reglamento de Transición Curricular</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13.1.</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como subpunto nuevo después de 13.1.6.</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14 (transitabilidad); Art. 12, Disposiciones de ejecución, criterio 4</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 reúne las reglas ya aprobadas en 16.1 y 16.3 y la Disposición Transitoria Primera del Reglamento de Modalidades de Graduación.</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el proyecto para su trámite antes de 2027.</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13.1.7</w:t>
        <w:tab/>
      </w:r>
      <w:r>
        <w:rPr>
          <w:rFonts w:ascii="Century Gothic" w:hAnsi="Century Gothic" w:cs="Century Gothic" w:eastAsia="Century Gothic"/>
          <w:b/>
          <w:i w:val="0"/>
          <w:sz w:val="22"/>
        </w:rPr>
        <w:t>Reglamento de Transición Curricular</w:t>
      </w:r>
    </w:p>
    <w:p>
      <w:pPr>
        <w:spacing w:before="0" w:after="200" w:line="240" w:lineRule="auto"/>
        <w:jc w:val="both"/>
      </w:pPr>
      <w:r>
        <w:rPr>
          <w:rFonts w:ascii="Century Gothic" w:hAnsi="Century Gothic" w:cs="Century Gothic" w:eastAsia="Century Gothic"/>
          <w:b/>
          <w:i w:val="0"/>
          <w:sz w:val="20"/>
        </w:rPr>
        <w:t>Artículo 1. Objeto.</w:t>
      </w:r>
      <w:r>
        <w:rPr>
          <w:rFonts w:ascii="Century Gothic" w:hAnsi="Century Gothic" w:cs="Century Gothic" w:eastAsia="Century Gothic"/>
          <w:b w:val="0"/>
          <w:i w:val="0"/>
          <w:sz w:val="20"/>
        </w:rPr>
        <w:t xml:space="preserve"> Regular el tránsito del Plan de Estudios 2013 al Rediseño Curricular sin perjuicio para estudiantes ni docentes, conforme al Artículo 14 de la Resolución HCU N.º 032/2025.</w:t>
      </w:r>
    </w:p>
    <w:p>
      <w:pPr>
        <w:spacing w:before="0" w:after="200" w:line="240" w:lineRule="auto"/>
        <w:jc w:val="both"/>
      </w:pPr>
      <w:r>
        <w:rPr>
          <w:rFonts w:ascii="Century Gothic" w:hAnsi="Century Gothic" w:cs="Century Gothic" w:eastAsia="Century Gothic"/>
          <w:b/>
          <w:i w:val="0"/>
          <w:sz w:val="20"/>
        </w:rPr>
        <w:t>Artículo 2. Ingreso.</w:t>
      </w:r>
      <w:r>
        <w:rPr>
          <w:rFonts w:ascii="Century Gothic" w:hAnsi="Century Gothic" w:cs="Century Gothic" w:eastAsia="Century Gothic"/>
          <w:b w:val="0"/>
          <w:i w:val="0"/>
          <w:sz w:val="20"/>
        </w:rPr>
        <w:t xml:space="preserve"> Desde la gestión 2027, todo estudiante nuevo ingresa al Rediseño Curricular.</w:t>
      </w:r>
    </w:p>
    <w:p>
      <w:pPr>
        <w:spacing w:before="0" w:after="200" w:line="240" w:lineRule="auto"/>
        <w:jc w:val="both"/>
      </w:pPr>
      <w:r>
        <w:rPr>
          <w:rFonts w:ascii="Century Gothic" w:hAnsi="Century Gothic" w:cs="Century Gothic" w:eastAsia="Century Gothic"/>
          <w:b/>
          <w:i w:val="0"/>
          <w:sz w:val="20"/>
        </w:rPr>
        <w:t>Artículo 3. Reconocimiento de asignaturas.</w:t>
      </w:r>
      <w:r>
        <w:rPr>
          <w:rFonts w:ascii="Century Gothic" w:hAnsi="Century Gothic" w:cs="Century Gothic" w:eastAsia="Century Gothic"/>
          <w:b w:val="0"/>
          <w:i w:val="0"/>
          <w:sz w:val="20"/>
        </w:rPr>
        <w:t xml:space="preserve"> Toda asignatura aprobada en el Plan 2013 se reconoce de oficio en el Rediseño Curricular mediante homologación o convalidación, conforme al Cuadro 1 del punto 16.1.3.</w:t>
      </w:r>
    </w:p>
    <w:p>
      <w:pPr>
        <w:spacing w:before="0" w:after="200" w:line="240" w:lineRule="auto"/>
        <w:jc w:val="both"/>
      </w:pPr>
      <w:r>
        <w:rPr>
          <w:rFonts w:ascii="Century Gothic" w:hAnsi="Century Gothic" w:cs="Century Gothic" w:eastAsia="Century Gothic"/>
          <w:b/>
          <w:i w:val="0"/>
          <w:sz w:val="20"/>
        </w:rPr>
        <w:t>Artículo 4. Migración voluntaria.</w:t>
      </w:r>
      <w:r>
        <w:rPr>
          <w:rFonts w:ascii="Century Gothic" w:hAnsi="Century Gothic" w:cs="Century Gothic" w:eastAsia="Century Gothic"/>
          <w:b w:val="0"/>
          <w:i w:val="0"/>
          <w:sz w:val="20"/>
        </w:rPr>
        <w:t xml:space="preserve"> El estudiante del Plan 2013 puede migrar al Rediseño Curricular en cualquier momento de la transición. La migración es irreversible.</w:t>
      </w:r>
    </w:p>
    <w:p>
      <w:pPr>
        <w:spacing w:before="0" w:after="200" w:line="240" w:lineRule="auto"/>
        <w:jc w:val="both"/>
      </w:pPr>
      <w:r>
        <w:rPr>
          <w:rFonts w:ascii="Century Gothic" w:hAnsi="Century Gothic" w:cs="Century Gothic" w:eastAsia="Century Gothic"/>
          <w:b/>
          <w:i w:val="0"/>
          <w:sz w:val="20"/>
        </w:rPr>
        <w:t>Artículo 5. Extinción por año.</w:t>
      </w:r>
      <w:r>
        <w:rPr>
          <w:rFonts w:ascii="Century Gothic" w:hAnsi="Century Gothic" w:cs="Century Gothic" w:eastAsia="Century Gothic"/>
          <w:b w:val="0"/>
          <w:i w:val="0"/>
          <w:sz w:val="20"/>
        </w:rPr>
        <w:t xml:space="preserve"> Cada año del Plan 2013 se extingue cuando el año equivalente del Rediseño Curricular está en funcionamiento, conforme al Cuadro 2 del punto 16.2. El estudiante que debe una asignatura de un año extinguido la cursa en su equivalente.</w:t>
      </w:r>
    </w:p>
    <w:p>
      <w:pPr>
        <w:spacing w:before="0" w:after="200" w:line="240" w:lineRule="auto"/>
        <w:jc w:val="both"/>
      </w:pPr>
      <w:r>
        <w:rPr>
          <w:rFonts w:ascii="Century Gothic" w:hAnsi="Century Gothic" w:cs="Century Gothic" w:eastAsia="Century Gothic"/>
          <w:b/>
          <w:i w:val="0"/>
          <w:sz w:val="20"/>
        </w:rPr>
        <w:t>Artículo 6. Cursos de temporada y mesas de examen.</w:t>
      </w:r>
      <w:r>
        <w:rPr>
          <w:rFonts w:ascii="Century Gothic" w:hAnsi="Century Gothic" w:cs="Century Gothic" w:eastAsia="Century Gothic"/>
          <w:b w:val="0"/>
          <w:i w:val="0"/>
          <w:sz w:val="20"/>
        </w:rPr>
        <w:t xml:space="preserve"> Durante el año siguiente a la extinción de cada año, la Carrera puede habilitar cursos de temporada y mesas de examen de sus asignaturas para los estudiantes rezagados.</w:t>
      </w:r>
    </w:p>
    <w:p>
      <w:pPr>
        <w:spacing w:before="0" w:after="200" w:line="240" w:lineRule="auto"/>
        <w:jc w:val="both"/>
      </w:pPr>
      <w:r>
        <w:rPr>
          <w:rFonts w:ascii="Century Gothic" w:hAnsi="Century Gothic" w:cs="Century Gothic" w:eastAsia="Century Gothic"/>
          <w:b/>
          <w:i w:val="0"/>
          <w:sz w:val="20"/>
        </w:rPr>
        <w:t>Artículo 7. Graduación.</w:t>
      </w:r>
      <w:r>
        <w:rPr>
          <w:rFonts w:ascii="Century Gothic" w:hAnsi="Century Gothic" w:cs="Century Gothic" w:eastAsia="Century Gothic"/>
          <w:b w:val="0"/>
          <w:i w:val="0"/>
          <w:sz w:val="20"/>
        </w:rPr>
        <w:t xml:space="preserve"> El estudiante que concluya el Plan 2013 durante la transición mantiene el derecho a graduarse bajo las modalidades vigentes al concluir sus estudios o puede acogerse a las del Rediseño Curricular, conforme a la Disposición Transitoria Primera del Reglamento de Modalidades de Graduación.</w:t>
      </w:r>
    </w:p>
    <w:p>
      <w:pPr>
        <w:spacing w:before="0" w:after="200" w:line="240" w:lineRule="auto"/>
        <w:jc w:val="both"/>
      </w:pPr>
      <w:r>
        <w:rPr>
          <w:rFonts w:ascii="Century Gothic" w:hAnsi="Century Gothic" w:cs="Century Gothic" w:eastAsia="Century Gothic"/>
          <w:b/>
          <w:i w:val="0"/>
          <w:sz w:val="20"/>
        </w:rPr>
        <w:t>Artículo 8. Docentes titulares.</w:t>
      </w:r>
      <w:r>
        <w:rPr>
          <w:rFonts w:ascii="Century Gothic" w:hAnsi="Century Gothic" w:cs="Century Gothic" w:eastAsia="Century Gothic"/>
          <w:b w:val="0"/>
          <w:i w:val="0"/>
          <w:sz w:val="20"/>
        </w:rPr>
        <w:t xml:space="preserve"> Los docentes titulares conservan su cátedra en la asignatura equivalente. Si la carga horaria disminuye, la diferencia se compensa con horas de investigación, interacción social, tutoría o coordinación de prácticas.</w:t>
      </w:r>
    </w:p>
    <w:p>
      <w:pPr>
        <w:spacing w:before="0" w:after="200" w:line="240" w:lineRule="auto"/>
        <w:jc w:val="both"/>
      </w:pPr>
      <w:r>
        <w:rPr>
          <w:rFonts w:ascii="Century Gothic" w:hAnsi="Century Gothic" w:cs="Century Gothic" w:eastAsia="Century Gothic"/>
          <w:b/>
          <w:i w:val="0"/>
          <w:sz w:val="20"/>
        </w:rPr>
        <w:t>Artículo 9. Registro.</w:t>
      </w:r>
      <w:r>
        <w:rPr>
          <w:rFonts w:ascii="Century Gothic" w:hAnsi="Century Gothic" w:cs="Century Gothic" w:eastAsia="Century Gothic"/>
          <w:b w:val="0"/>
          <w:i w:val="0"/>
          <w:sz w:val="20"/>
        </w:rPr>
        <w:t xml:space="preserve"> La Unidad de Kárdex Académico conserva los historiales y las actas del Plan 2013 y emite los certificados de ambos planes.</w:t>
      </w:r>
    </w:p>
    <w:p>
      <w:pPr>
        <w:spacing w:before="0" w:after="200" w:line="240" w:lineRule="auto"/>
        <w:jc w:val="both"/>
      </w:pPr>
      <w:r>
        <w:rPr>
          <w:rFonts w:ascii="Century Gothic" w:hAnsi="Century Gothic" w:cs="Century Gothic" w:eastAsia="Century Gothic"/>
          <w:b/>
          <w:i w:val="0"/>
          <w:sz w:val="20"/>
        </w:rPr>
        <w:t>Artículo 10. Extinción definitiva.</w:t>
      </w:r>
      <w:r>
        <w:rPr>
          <w:rFonts w:ascii="Century Gothic" w:hAnsi="Century Gothic" w:cs="Century Gothic" w:eastAsia="Century Gothic"/>
          <w:b w:val="0"/>
          <w:i w:val="0"/>
          <w:sz w:val="20"/>
        </w:rPr>
        <w:t xml:space="preserve"> Cuando no queden estudiantes del Plan 2013 con asignaturas pendientes, el Honorable Consejo de Carrera declara la extinción definitiva del plan e informa a las instancias universitarias.</w:t>
      </w:r>
    </w:p>
    <w:p>
      <w:pPr>
        <w:keepNext/>
        <w:spacing w:before="120" w:after="200" w:line="240" w:lineRule="auto"/>
        <w:jc w:val="left"/>
      </w:pPr>
      <w:r>
        <w:rPr>
          <w:rFonts w:ascii="Century Gothic" w:hAnsi="Century Gothic" w:cs="Century Gothic" w:eastAsia="Century Gothic"/>
          <w:b/>
          <w:i w:val="0"/>
          <w:sz w:val="24"/>
        </w:rPr>
        <w:t>Propuesta 25. Correcciones del Reglamento de Modalidades de Graduación</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13.1.4, Artículos 3 y 88.</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las frases indicadas.</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Coherencia interna; Art. 12, Reglamentación</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 las correcciones.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tbl>
      <w:tblPr>
        <w:tblW w:type="auto" w:w="0"/>
        <w:jc w:val="center"/>
        <w:tblLayout w:type="fixed"/>
        <w:tblLook w:firstColumn="1" w:firstRow="1" w:lastColumn="0" w:lastRow="0" w:noHBand="0" w:noVBand="1" w:val="04A0"/>
      </w:tblPr>
      <w:tblGrid>
        <w:gridCol w:w="1474"/>
        <w:gridCol w:w="3798"/>
        <w:gridCol w:w="3798"/>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Artículo</w:t>
            </w:r>
          </w:p>
        </w:tc>
        <w:tc>
          <w:tcPr>
            <w:tcW w:type="dxa" w:w="37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Dice</w:t>
            </w:r>
          </w:p>
        </w:tc>
        <w:tc>
          <w:tcPr>
            <w:tcW w:type="dxa" w:w="37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Debe decir</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 88, inciso 1</w:t>
            </w:r>
          </w:p>
        </w:tc>
        <w:tc>
          <w:tcPr>
            <w:tcW w:type="dxa" w:w="37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veinticuatro (24) asignaturas correspondientes a primer, segundo y tercer año del Plan de Estudios (120 créditos)</w:t>
            </w:r>
          </w:p>
        </w:tc>
        <w:tc>
          <w:tcPr>
            <w:tcW w:type="dxa" w:w="37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veinticuatro (24) asignaturas correspondientes a primer, segundo y tercer año del Plan de Estudios (180 créditos)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Art. 3, sexto inciso</w:t>
            </w:r>
          </w:p>
        </w:tc>
        <w:tc>
          <w:tcPr>
            <w:tcW w:type="dxa" w:w="37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Resoluciones de Cogobierno Facultativo HCF Nº 1057/2026 y HCF Nº 1126/2026 de aprobación del Rediseño Curricular y conformación de la Comisión Académica</w:t>
            </w:r>
          </w:p>
        </w:tc>
        <w:tc>
          <w:tcPr>
            <w:tcW w:type="dxa" w:w="37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Resoluciones de Cogobierno Facultativo HCF Nº 1057/2026, de aprobación del Diagnóstico y de la Declaratoria de Necesidad de Rediseño Curricular, y HCF Nº 1126/2026, de conformación de la Comisión Académica</w:t>
            </w:r>
          </w:p>
        </w:tc>
      </w:tr>
    </w:tbl>
    <w:p>
      <w:pPr>
        <w:spacing w:before="40" w:after="200" w:line="240" w:lineRule="auto"/>
        <w:jc w:val="left"/>
      </w:pPr>
      <w:r>
        <w:rPr>
          <w:rFonts w:ascii="Century Gothic" w:hAnsi="Century Gothic" w:cs="Century Gothic" w:eastAsia="Century Gothic"/>
          <w:b w:val="0"/>
          <w:i w:val="0"/>
          <w:sz w:val="16"/>
        </w:rPr>
        <w:t>Fuente: malla curricular con créditos, punto 4.4.3, y punto 3.2.1.</w:t>
      </w:r>
    </w:p>
    <w:p>
      <w:pPr>
        <w:keepNext/>
        <w:spacing w:before="120" w:after="200" w:line="240" w:lineRule="auto"/>
        <w:jc w:val="left"/>
      </w:pPr>
      <w:r>
        <w:rPr>
          <w:rFonts w:ascii="Century Gothic" w:hAnsi="Century Gothic" w:cs="Century Gothic" w:eastAsia="Century Gothic"/>
          <w:b/>
          <w:i w:val="0"/>
          <w:sz w:val="24"/>
        </w:rPr>
        <w:t>Propuesta 26. Cronograma de implementación armonizado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16.2 Plan de implementación.</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el Cuadro 2 de 16.2.</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12, Disposiciones de ejecución, criterio 3; coherencia con 16.3 y 4.5</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 armoniza el cronograma con la regla de extinción de 16.3, con los 43 planes de asignatura ya elaborados y con las salidas intermedias.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spacing w:before="40" w:after="80" w:line="240" w:lineRule="auto"/>
        <w:jc w:val="center"/>
      </w:pPr>
      <w:r>
        <w:rPr>
          <w:rFonts w:ascii="Century Gothic" w:hAnsi="Century Gothic" w:cs="Century Gothic" w:eastAsia="Century Gothic"/>
          <w:b/>
          <w:i w:val="0"/>
          <w:sz w:val="20"/>
        </w:rPr>
        <w:t>Cuadro 2. Cronograma de implementación del Rediseño Curricular</w:t>
      </w:r>
    </w:p>
    <w:tbl>
      <w:tblPr>
        <w:tblW w:type="auto" w:w="0"/>
        <w:jc w:val="center"/>
        <w:tblLayout w:type="fixed"/>
        <w:tblLook w:firstColumn="1" w:firstRow="1" w:lastColumn="0" w:lastRow="0" w:noHBand="0" w:noVBand="1" w:val="04A0"/>
      </w:tblPr>
      <w:tblGrid>
        <w:gridCol w:w="1134"/>
        <w:gridCol w:w="2608"/>
        <w:gridCol w:w="2608"/>
        <w:gridCol w:w="2721"/>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Gestión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Rediseño Curricular</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Plan de Estudios 2013</w:t>
            </w:r>
          </w:p>
        </w:tc>
        <w:tc>
          <w:tcPr>
            <w:tcW w:type="dxa" w:w="27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Acciones de apoyo</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Aprobación del plan y de los 43 planes de asignatura por las instancias universitarias</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Vigente en todos los años; último ingreso de estudiantes</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Capacitación docente inicial; habilitación de laboratorios; convenios iniciales; línea base de seguimiento a titulados</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Inicio del primer año</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Extinción del primer año: sin nuevos ingresos; los rezagados cursan la asignatura equivalente</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Complementación anual de los planes de asignatura; aula virtual por asignatura y paralelo; aprobación de los reglamentos de 13.1.5 a 13.1.7</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Inicio del segundo año; al cierre, primera salida intermedia de Técnico Universitario Medio</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Extinción del segundo año</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Primera evaluación de la implementación y ajustes</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Inicio del tercer año, con prácticas preprofesionales e interacción social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Extinción del tercer año</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Habilitación de la salida intermedia de Técnico Superior en Contabilidad General</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Inicio del cuarto año; primera convocatoria al Examen de Grado Técnico Superior</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Extinción del cuarto año</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Segunda evaluación de la implementación</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Inicio del quinto año y del Taller de Grado CPA-510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Extinción del quinto año; cierre de la enseñanza del Plan 2013</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Primera promoción del Rediseño Curricular</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2032 en adelante</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Plan en régimen completo; primeras graduaciones de licenciatura</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Graduación de los egresados conforme a la Disposición Transitoria Primera del Reglamento de Modalidades de Graduación</w:t>
            </w:r>
          </w:p>
        </w:tc>
        <w:tc>
          <w:tcPr>
            <w:tcW w:type="dxa" w:w="2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Evaluación de resultados y primera medición del seguimiento a titulados</w:t>
            </w:r>
          </w:p>
        </w:tc>
      </w:tr>
    </w:tbl>
    <w:p>
      <w:pPr>
        <w:spacing w:before="40" w:after="200" w:line="240" w:lineRule="auto"/>
        <w:jc w:val="left"/>
      </w:pPr>
      <w:r>
        <w:rPr>
          <w:rFonts w:ascii="Century Gothic" w:hAnsi="Century Gothic" w:cs="Century Gothic" w:eastAsia="Century Gothic"/>
          <w:b w:val="0"/>
          <w:i w:val="0"/>
          <w:sz w:val="16"/>
        </w:rPr>
        <w:t>Fuente: elaboración con base en los puntos 11.3.4, 12 y 16.3.</w:t>
      </w:r>
    </w:p>
    <w:p>
      <w:pPr>
        <w:keepNext/>
        <w:spacing w:before="120" w:after="200" w:line="240" w:lineRule="auto"/>
        <w:jc w:val="left"/>
      </w:pPr>
      <w:r>
        <w:rPr>
          <w:rFonts w:ascii="Century Gothic" w:hAnsi="Century Gothic" w:cs="Century Gothic" w:eastAsia="Century Gothic"/>
          <w:b/>
          <w:i w:val="0"/>
          <w:sz w:val="24"/>
        </w:rPr>
        <w:t>Propuesta 27. Plazo de graduación del Plan 2013 alineado al Reglamento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 16.3 Política de extinción del plan de estudios.</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Reemplazar el quinto inciso de 16.3 («El estudiante que concluya el Plan 2013 dispone de un plazo de hasta tres años…») y el último inciso («Concluido el plazo de graduación transitorio…»).</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Coherencia con la Disposición Transitoria Primera del 13.1.4 (prevalece)</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80" w:line="240" w:lineRule="auto"/>
        <w:jc w:val="both"/>
      </w:pPr>
      <w:r>
        <w:rPr>
          <w:rFonts w:ascii="Century Gothic" w:hAnsi="Century Gothic" w:cs="Century Gothic" w:eastAsia="Century Gothic"/>
          <w:b/>
          <w:i w:val="0"/>
          <w:sz w:val="20"/>
        </w:rPr>
        <w:t>Quinto inciso:</w:t>
      </w:r>
    </w:p>
    <w:p>
      <w:pPr>
        <w:spacing w:before="0" w:after="200" w:line="240" w:lineRule="auto"/>
        <w:jc w:val="both"/>
      </w:pPr>
      <w:r>
        <w:rPr>
          <w:rFonts w:ascii="Century Gothic" w:hAnsi="Century Gothic" w:cs="Century Gothic" w:eastAsia="Century Gothic"/>
          <w:b w:val="0"/>
          <w:i w:val="0"/>
          <w:sz w:val="20"/>
        </w:rPr>
        <w:t>El estudiante que concluya el Plan 2013 mantiene el derecho a graduarse bajo las modalidades vigentes al momento de su conclusión de estudios o puede acogerse voluntariamente a las modalidades del Rediseño Curricular mediante homologación ante la Dirección de Carrera, conforme a la Disposición Transitoria Primera del Reglamento de Modalidades de Graduación del punto 13.1.4.</w:t>
      </w:r>
    </w:p>
    <w:p>
      <w:pPr>
        <w:spacing w:before="0" w:after="80" w:line="240" w:lineRule="auto"/>
        <w:jc w:val="both"/>
      </w:pPr>
      <w:r>
        <w:rPr>
          <w:rFonts w:ascii="Century Gothic" w:hAnsi="Century Gothic" w:cs="Century Gothic" w:eastAsia="Century Gothic"/>
          <w:b/>
          <w:i w:val="0"/>
          <w:sz w:val="20"/>
        </w:rPr>
        <w:t>Último inciso:</w:t>
      </w:r>
    </w:p>
    <w:p>
      <w:pPr>
        <w:spacing w:before="0" w:after="200" w:line="240" w:lineRule="auto"/>
        <w:jc w:val="both"/>
      </w:pPr>
      <w:r>
        <w:rPr>
          <w:rFonts w:ascii="Century Gothic" w:hAnsi="Century Gothic" w:cs="Century Gothic" w:eastAsia="Century Gothic"/>
          <w:b w:val="0"/>
          <w:i w:val="0"/>
          <w:sz w:val="20"/>
        </w:rPr>
        <w:t>Cuando no queden estudiantes del Plan 2013 con asignaturas pendientes, el Honorable Consejo de Carrera declara la extinción definitiva del Plan 2013 e informa a las instancias universitarias.</w:t>
      </w:r>
    </w:p>
    <w:p>
      <w:pPr>
        <w:keepNext/>
        <w:spacing w:before="120" w:after="200" w:line="240" w:lineRule="auto"/>
        <w:jc w:val="left"/>
      </w:pPr>
      <w:r>
        <w:rPr>
          <w:rFonts w:ascii="Century Gothic" w:hAnsi="Century Gothic" w:cs="Century Gothic" w:eastAsia="Century Gothic"/>
          <w:b/>
          <w:i w:val="0"/>
          <w:sz w:val="24"/>
        </w:rPr>
        <w:t>Propuesta 28. Cuadro comparativo del nivel de innovación</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Final del documento.</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como anexo al final del documento, después del punto 16.</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13 y Disposición Final Segunda</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A: datos de los puntos 3.1.1, 4, 5, 6, 8 y 16.</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Aprobar.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keepNext/>
        <w:spacing w:before="80" w:after="200" w:line="240" w:lineRule="auto"/>
        <w:jc w:val="left"/>
      </w:pPr>
      <w:r>
        <w:rPr>
          <w:rFonts w:ascii="Century Gothic" w:hAnsi="Century Gothic" w:cs="Century Gothic" w:eastAsia="Century Gothic"/>
          <w:b/>
          <w:i w:val="0"/>
          <w:sz w:val="22"/>
        </w:rPr>
        <w:t>Anexo. Cuadro comparativo del nivel de innovación curricular</w:t>
      </w:r>
    </w:p>
    <w:p>
      <w:pPr>
        <w:spacing w:before="0" w:after="200" w:line="240" w:lineRule="auto"/>
        <w:jc w:val="both"/>
      </w:pPr>
      <w:r>
        <w:rPr>
          <w:rFonts w:ascii="Century Gothic" w:hAnsi="Century Gothic" w:cs="Century Gothic" w:eastAsia="Century Gothic"/>
          <w:b w:val="0"/>
          <w:i w:val="0"/>
          <w:sz w:val="20"/>
        </w:rPr>
        <w:t xml:space="preserve">Nivel de innovación: </w:t>
      </w:r>
      <w:r>
        <w:rPr>
          <w:rFonts w:ascii="Century Gothic" w:hAnsi="Century Gothic" w:cs="Century Gothic" w:eastAsia="Century Gothic"/>
          <w:b/>
          <w:i w:val="0"/>
          <w:sz w:val="20"/>
        </w:rPr>
        <w:t>rediseño curricular</w:t>
      </w:r>
      <w:r>
        <w:rPr>
          <w:rFonts w:ascii="Century Gothic" w:hAnsi="Century Gothic" w:cs="Century Gothic" w:eastAsia="Century Gothic"/>
          <w:b w:val="0"/>
          <w:i w:val="0"/>
          <w:sz w:val="20"/>
        </w:rPr>
        <w:t>, conforme al Artículo 5 de la Resolución HCU N.º 032/2025.</w:t>
      </w:r>
    </w:p>
    <w:p>
      <w:pPr>
        <w:keepNext/>
        <w:spacing w:before="40" w:after="80" w:line="240" w:lineRule="auto"/>
        <w:jc w:val="center"/>
      </w:pPr>
      <w:r>
        <w:rPr>
          <w:rFonts w:ascii="Century Gothic" w:hAnsi="Century Gothic" w:cs="Century Gothic" w:eastAsia="Century Gothic"/>
          <w:b/>
          <w:i w:val="0"/>
          <w:sz w:val="20"/>
        </w:rPr>
        <w:t>Cuadro [N]. Comparación entre la situación anterior y la posterior</w:t>
      </w:r>
    </w:p>
    <w:tbl>
      <w:tblPr>
        <w:tblW w:type="auto" w:w="0"/>
        <w:jc w:val="center"/>
        <w:tblLayout w:type="fixed"/>
        <w:tblLook w:firstColumn="1" w:firstRow="1" w:lastColumn="0" w:lastRow="0" w:noHBand="0" w:noVBand="1" w:val="04A0"/>
      </w:tblPr>
      <w:tblGrid>
        <w:gridCol w:w="1814"/>
        <w:gridCol w:w="3402"/>
        <w:gridCol w:w="3855"/>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Componente</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Situación anterior: Plan 2013</w:t>
            </w:r>
          </w:p>
        </w:tc>
        <w:tc>
          <w:tcPr>
            <w:tcW w:type="dxa" w:w="3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Situación posterior: Rediseño Curricular</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Perfil de egreso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Perfil por objetivos, centrado en la contabilidad y la auditoría financiera clásica</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Perfil por competencias alineado con la Resolución N.º 07/2024 del SUB, las IES de la IFAC y el Código del IESBA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Asignaturas y horas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 asignaturas y 6.000 horas, sin distinción de horas presenciales y no presenciales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43 asignaturas, 6.000 horas presenciales y 9.000 horas de trabajo del estudiante</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Créditos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Sin sistema de créditos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300 créditos, 60 por año, a razón de 30 horas por crédito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Régimen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 con asignaturas semestrales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Anual en todas las asignaturas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Organización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Bloques secuenciales: el Área Contextual en los tres primeros años y el aseguramiento en quinto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Seis áreas con ejes transversales de ética, transformación digital, sostenibilidad, investigación e inglés técnico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Tecnología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Sistemas de información en tercer año y sistemas automatizados en cuarto</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Eje digital desde primer año: CPA-102, CPA-305, CPA-404 y CPA-505, con analítica de datos e inteligencia artificial</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Prácticas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contempladas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Cuatro niveles de práctica y 240 horas mínimas en organizaciones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Investigación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Seminario de grado; 0,16 % de titulados por tesis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874 horas de investigación y práctica, ocho líneas y horas en el Instituto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Interacción social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Sin horas exigidas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60 horas mínimas por estudiante</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Evaluación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Centrada en exámenes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Por evidencias de desempeño, de producto y de conocimiento, con rúbricas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Graduación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Concentrada en el examen de grado, 69,7 % de los titulados</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Siete modalidades de licenciatura con reglamento propio y dos salidas intermedias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Cursos de temporada y mesas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regulados en el plan</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Regulados con asignaturas habilitadas, puntos 5.3.3 y 5.3.4</w:t>
            </w:r>
          </w:p>
        </w:tc>
      </w:tr>
    </w:tbl>
    <w:p>
      <w:pPr>
        <w:spacing w:before="40" w:after="200" w:line="240" w:lineRule="auto"/>
        <w:jc w:val="left"/>
      </w:pPr>
      <w:r>
        <w:rPr>
          <w:rFonts w:ascii="Century Gothic" w:hAnsi="Century Gothic" w:cs="Century Gothic" w:eastAsia="Century Gothic"/>
          <w:b w:val="0"/>
          <w:i w:val="0"/>
          <w:sz w:val="16"/>
        </w:rPr>
        <w:t>Fuente: puntos 3.1, 4.4, 4.8, 5.4, 6, 7, 8 y 16.</w:t>
      </w:r>
    </w:p>
    <w:p>
      <w:pPr>
        <w:keepNext/>
        <w:spacing w:before="120" w:after="200" w:line="240" w:lineRule="auto"/>
        <w:jc w:val="left"/>
      </w:pPr>
      <w:r>
        <w:rPr>
          <w:rFonts w:ascii="Century Gothic" w:hAnsi="Century Gothic" w:cs="Century Gothic" w:eastAsia="Century Gothic"/>
          <w:b/>
          <w:i w:val="0"/>
          <w:sz w:val="24"/>
        </w:rPr>
        <w:t>Propuesta 29. Citas normativas del procedimiento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Ubicación:</w:t>
            </w:r>
            <w:r>
              <w:rPr>
                <w:rFonts w:ascii="Century Gothic" w:hAnsi="Century Gothic" w:cs="Century Gothic" w:eastAsia="Century Gothic"/>
                <w:b w:val="0"/>
                <w:i w:val="0"/>
                <w:sz w:val="20"/>
              </w:rPr>
              <w:t xml:space="preserve"> Puntos 1.6, 1.13 y 3.2.1.</w:t>
            </w:r>
          </w:p>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Agregar el párrafo al final del inciso «Declaratoria de necesidad» de 1.13 y unificar la cita del Reglamento General de Títulos y Grados.</w:t>
            </w:r>
          </w:p>
          <w:p>
            <w:pPr>
              <w:spacing w:before="60" w:after="60" w:line="240" w:lineRule="auto"/>
              <w:jc w:val="both"/>
            </w:pPr>
            <w:r>
              <w:rPr>
                <w:rFonts w:ascii="Century Gothic" w:hAnsi="Century Gothic" w:cs="Century Gothic" w:eastAsia="Century Gothic"/>
                <w:b/>
                <w:i w:val="0"/>
                <w:sz w:val="20"/>
              </w:rPr>
              <w:t>Requisito que atiende:</w:t>
            </w:r>
            <w:r>
              <w:rPr>
                <w:rFonts w:ascii="Century Gothic" w:hAnsi="Century Gothic" w:cs="Century Gothic" w:eastAsia="Century Gothic"/>
                <w:b w:val="0"/>
                <w:i w:val="0"/>
                <w:sz w:val="20"/>
              </w:rPr>
              <w:t xml:space="preserve"> Art. 15, par. II, num. 1 a 3; coherencia de citas</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Tipo C: completar el número y la fecha de las resoluciones y verificar el Congreso que aprobó el Reglamento General de Títulos y Grados.</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Completar los datos y unificar la cita: el punto 1.6 lo atribuye al XIII Congreso y el 3.2.1 al XI Congreso de 2009.</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val="0"/>
          <w:i/>
          <w:sz w:val="20"/>
        </w:rPr>
        <w:t>Texto para copiar y pegar:</w:t>
      </w:r>
    </w:p>
    <w:p>
      <w:pPr>
        <w:spacing w:before="0" w:after="200" w:line="240" w:lineRule="auto"/>
        <w:jc w:val="both"/>
      </w:pPr>
      <w:r>
        <w:rPr>
          <w:rFonts w:ascii="Century Gothic" w:hAnsi="Century Gothic" w:cs="Century Gothic" w:eastAsia="Century Gothic"/>
          <w:b w:val="0"/>
          <w:i w:val="0"/>
          <w:sz w:val="20"/>
        </w:rPr>
        <w:t>La necesidad del rediseño fue declarada previamente por el Honorable Consejo de Carrera mediante la Resolución HCC N.º [número], de [fecha], y la Comisión Académica fue elegida en la Asamblea Docente Estudiantil del 4 de septiembre de 2026, cuya acta consta en el archivo de la Carrera. La Comisión conformó subcomisiones paritarias por área de conocimiento, con sus secretarios, y presenta el presente diseño con su informe, conforme al Artículo 15 de la Resolución HCU N.º 032/2025.</w:t>
      </w:r>
    </w:p>
    <w:p>
      <w:r>
        <w:br w:type="page"/>
      </w:r>
    </w:p>
    <w:p>
      <w:pPr>
        <w:keepNext/>
        <w:spacing w:before="120" w:after="200" w:line="240" w:lineRule="auto"/>
        <w:jc w:val="left"/>
      </w:pPr>
      <w:r>
        <w:rPr>
          <w:rFonts w:ascii="Century Gothic" w:hAnsi="Century Gothic" w:cs="Century Gothic" w:eastAsia="Century Gothic"/>
          <w:b/>
          <w:i w:val="0"/>
          <w:sz w:val="24"/>
        </w:rPr>
        <w:t>Propuesta 30. Correcciones de datos y referencias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Acción:</w:t>
            </w:r>
            <w:r>
              <w:rPr>
                <w:rFonts w:ascii="Century Gothic" w:hAnsi="Century Gothic" w:cs="Century Gothic" w:eastAsia="Century Gothic"/>
                <w:b w:val="0"/>
                <w:i w:val="0"/>
                <w:sz w:val="20"/>
              </w:rPr>
              <w:t xml:space="preserve"> corregir en el documento consolidado los datos y referencias siguientes. No requieren texto nuevo, sino verificar la cifra correcta en la fuente.</w:t>
            </w:r>
          </w:p>
          <w:p>
            <w:pPr>
              <w:spacing w:before="60" w:after="60" w:line="240" w:lineRule="auto"/>
              <w:jc w:val="both"/>
            </w:pPr>
            <w:r>
              <w:rPr>
                <w:rFonts w:ascii="Century Gothic" w:hAnsi="Century Gothic" w:cs="Century Gothic" w:eastAsia="Century Gothic"/>
                <w:b/>
                <w:i w:val="0"/>
                <w:sz w:val="20"/>
              </w:rPr>
              <w:t>Tipo:</w:t>
            </w:r>
            <w:r>
              <w:rPr>
                <w:rFonts w:ascii="Century Gothic" w:hAnsi="Century Gothic" w:cs="Century Gothic" w:eastAsia="Century Gothic"/>
                <w:b w:val="0"/>
                <w:i w:val="0"/>
                <w:sz w:val="20"/>
              </w:rPr>
              <w:t xml:space="preserve"> C.</w:t>
            </w:r>
          </w:p>
          <w:p>
            <w:pPr>
              <w:spacing w:before="60" w:after="60" w:line="240" w:lineRule="auto"/>
              <w:jc w:val="both"/>
            </w:pPr>
            <w:r>
              <w:rPr>
                <w:rFonts w:ascii="Century Gothic" w:hAnsi="Century Gothic" w:cs="Century Gothic" w:eastAsia="Century Gothic"/>
                <w:b/>
                <w:i w:val="0"/>
                <w:sz w:val="20"/>
              </w:rPr>
              <w:t>Decisión de la comisión:</w:t>
            </w:r>
            <w:r>
              <w:rPr>
                <w:rFonts w:ascii="Century Gothic" w:hAnsi="Century Gothic" w:cs="Century Gothic" w:eastAsia="Century Gothic"/>
                <w:b w:val="0"/>
                <w:i w:val="0"/>
                <w:sz w:val="20"/>
              </w:rPr>
              <w:t xml:space="preserve"> asignar a cada responsable de punto la verificación de su dato.</w:t>
            </w:r>
          </w:p>
        </w:tc>
      </w:tr>
    </w:tbl>
    <w:p>
      <w:pPr>
        <w:spacing w:before="0" w:after="120" w:line="240" w:lineRule="auto"/>
        <w:jc w:val="left"/>
      </w:pPr>
    </w:p>
    <w:p>
      <w:pPr>
        <w:keepNext/>
        <w:spacing w:before="40" w:after="80" w:line="240" w:lineRule="auto"/>
        <w:jc w:val="center"/>
      </w:pPr>
      <w:r>
        <w:rPr>
          <w:rFonts w:ascii="Century Gothic" w:hAnsi="Century Gothic" w:cs="Century Gothic" w:eastAsia="Century Gothic"/>
          <w:b/>
          <w:i w:val="0"/>
          <w:sz w:val="20"/>
        </w:rPr>
        <w:t>Cuadro [N]. Correcciones de datos y referencias</w:t>
      </w:r>
    </w:p>
    <w:tbl>
      <w:tblPr>
        <w:tblW w:type="auto" w:w="0"/>
        <w:jc w:val="center"/>
        <w:tblLayout w:type="fixed"/>
        <w:tblLook w:firstColumn="1" w:firstRow="1" w:lastColumn="0" w:lastRow="0" w:noHBand="0" w:noVBand="1" w:val="04A0"/>
      </w:tblPr>
      <w:tblGrid>
        <w:gridCol w:w="1417"/>
        <w:gridCol w:w="4252"/>
        <w:gridCol w:w="3402"/>
      </w:tblGrid>
      <w:tr>
        <w:trPr>
          <w:tblHeader/>
        </w:trPr>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Punto</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Observación</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Corrección sugerida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4.7</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No precisa las instancias del Reglamento del Régimen Académico Estudiantil, como la recuperación y la segunda instancia, ni un rango orientativo de ponderación de las evidencias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Agregar un párrafo con las instancias del reglamento y el rango de ponderación de las evidencias prácticas</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4.4.4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Habla de horas teóricas, prácticas y de laboratorio, mientras que los planes y el punto 8.4 usan HP, HAA, HTG, HIP y HE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Unificar con las abreviaturas de los planes de asignatura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3.5.3 y 4.8.2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Mencionan ocho gabinetes, pero en la malla solo CPA-502 es gabinete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Ajustar el número o hablar de asignaturas de aseguramiento con simulación</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8 y 8.5</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Remiten el sistema de créditos al punto 4.3.5, que trata de la duración de la carrera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Remitir a 4.4.3 y 4.4.4</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9.1.2 y 9.1.3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CPA-102 y CPA-505 figuran como «Actualizada» en el Cuadro 2 y «Sin títulos» en el Cuadro 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Verificar con la Biblioteca y unificar</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10.2 y 10.4</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El Monoblock Central aparece con 20 y con 27 equipos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Verificar el inventario y unificar</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11.1.2, 14.1 y 15</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Capacidades distintas de aulas y pabellones, por ejemplo el Pabellón A con 320 plazas y 606 asientos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Conciliar con el relevamiento del punto 15</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14.6</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Indica 26 servidores administrativos, frente a 23 en los puntos 2 y 11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Verificar y unificar</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13.1.3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Exige tutoría obligatoria y omite la nota previa mínima de 30 puntos que pide el punto 5.3.3 para los cursos de temporada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Alinear con 5.3.3</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5.4.2</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Ofrece el PETAENG como una de las siete modalidades, pero el Artículo 83 del Reglamento lo limita a egresados de planes anteriores con tres años o más de antigüedad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Agregar «para egresados de planes anteriores, conforme al Artículo 83» en el párrafo del PETAENG</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2.7.1 y 11.2.1</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El mismo dato docente nombra el área como «Servicios de Atestación y No Atestación» y como «Servicios de Aseguramiento»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Usar «Servicios de Aseguramiento» o aclarar que 2.7.1 usa la denominación del Plan 2013</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15</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Ocho celdas dicen «Por verificar» en el estado del equipamiento de las aulas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Completar el dato del relevamiento</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16.1.3</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El cuadro de equivalencias no muestra las horas de cada plan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7"/>
              </w:rPr>
              <w:t>Agregar las horas del Plan 2013 y del Rediseño Curricular por asignatura</w:t>
            </w:r>
          </w:p>
        </w:tc>
      </w:tr>
    </w:tbl>
    <w:p>
      <w:pPr>
        <w:spacing w:before="0" w:after="120" w:line="240" w:lineRule="auto"/>
        <w:jc w:val="left"/>
      </w:pPr>
    </w:p>
    <w:p>
      <w:r>
        <w:br w:type="page"/>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Propuestas para el cumplimiento de la Resolución HCU N.º 032/2025</dc:title>
  <dc:subject/>
  <dc:creator>Carrera de Contaduría Pública - UMSA</dc:creator>
  <cp:keywords/>
  <dc:description/>
  <cp:lastModifiedBy>Roberto Mauricio Ramos Callisaya</cp:lastModifiedBy>
  <cp:revision>1</cp:revision>
  <dcterms:created xsi:type="dcterms:W3CDTF">2013-12-23T23:15:00Z</dcterms:created>
  <dcterms:modified xsi:type="dcterms:W3CDTF">2026-10-18T12:00:00Z</dcterms:modified>
  <cp:category/>
</cp:coreProperties>
</file>