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Interacción Social y Extensión Universitaria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7.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Interacción social y extensión universitaria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La interacción social y la extensión universitaria vinculan a la Carrera con el Estado, el sector productivo y la sociedad. El Artículo 12 de la Resolución HCU N.º 032/2025 exige que el plan de estudios especifique las políticas y líneas de interacción social y de extensión universitaria, y que los estudiantes cumplan una cantidad demostrable de horas de interacción social. </w:t>
      </w:r>
      <w:r>
        <w:rPr>
          <w:rFonts w:ascii="Century Gothic" w:hAnsi="Century Gothic" w:cs="Century Gothic" w:eastAsia="Century Gothic"/>
          <w:b w:val="0"/>
          <w:i w:val="0"/>
          <w:sz w:val="20"/>
          <w:highlight w:val="green"/>
        </w:rPr>
        <w:t>En el Sistema de la Universidad Boliviana, la denominación de interacción social fue adoptada en el Primer Congreso de 1988 en reemplazo de la de extensión social, y el XII Congreso Nacional de Universidades aprobó mediante la Resolución N.º 088/2014 la reglamentación de Interacción Social y Extensión.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En la UMSA, el Departamento de Investigación, Postgrado e Interacción Social coordina estas funciones. </w:t>
      </w:r>
      <w:r>
        <w:rPr>
          <w:rFonts w:ascii="Century Gothic" w:hAnsi="Century Gothic" w:cs="Century Gothic" w:eastAsia="Century Gothic"/>
          <w:b w:val="0"/>
          <w:i w:val="0"/>
          <w:sz w:val="20"/>
          <w:highlight w:val="green"/>
        </w:rPr>
        <w:t>Sus lineamientos plantean integrar la investigación y la innovación con la interacción social para incidir en el desarrollo y en las políticas públicas, y transferir los resultados de la investigación al Estado y a la sociedad.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En la Carrera, la interacción social corresponde al Eje 3 del Plan de Desarrollo 2026-2030, «Interacción social, ética e integración institucional», y responde al objetivo de vinculación práctica e interacción social del punto 2.4.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7.1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Políticas y líneas de interacción social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7.1.1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Políticas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Interés público y ética profesional.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Las actividades de interacción social se desarrollan bajo los principios del Código Internacional de Ética del IESBA y orientadas al interés público, la transparencia y la responsabilidad social.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Integración con la formación.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interacción social forma parte del proceso formativo: se vincula con las competencias de las asignaturas, con las prácticas preprofesionales del punto 4.8 y con las modalidades de graduación.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Integración con la investigación.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Los resultados del Instituto de Investigaciones se transfieren a la sociedad y a las entidades públicas mediante documentos de política pública, publicaciones y asistencia técnica.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Atención prioritaria a sectores vulnerables.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Se prioriza el apoyo a la micro y pequeña empresa, las organizaciones comunitarias y los emprendimientos, en una economía con 84,2 % de informalidad laboral.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Alianzas institucionales.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Carrera suscribe convenios con entidades públicas, firmas de auditoría, empresas, gobiernos subnacionales, el Colegio de Auditores o Contadores Públicos y organizaciones sociales.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Participación obligatoria y demostrable.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Todo estudiante participa en actividades de interacción social durante su formación, con registro y acreditación de las horas cumplidas.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7.1.2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Líneas de interacción social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1. Líneas de interacción social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252"/>
        <w:gridCol w:w="2551"/>
      </w:tblGrid>
      <w:tr>
        <w:trPr>
          <w:tblHeader/>
        </w:trPr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Línea</w:t>
            </w:r>
          </w:p>
        </w:tc>
        <w:tc>
          <w:tcPr>
            <w:tcW w:type="dxa" w:w="425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Actividades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Destinatarios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Consultoría social contable</w:t>
            </w:r>
          </w:p>
        </w:tc>
        <w:tc>
          <w:tcPr>
            <w:tcW w:type="dxa" w:w="425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Gabinetes de docentes y estudiantes que brindan asesoría gratuita en contabilidad, cumplimiento tributario, formalización y gestión</w:t>
            </w:r>
          </w:p>
        </w:tc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Micro y pequeñas empresas, asociaciones comunitarias, cooperativas y emprendimientos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Educación financiera y tributaria</w:t>
            </w:r>
          </w:p>
        </w:tc>
        <w:tc>
          <w:tcPr>
            <w:tcW w:type="dxa" w:w="425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Talleres y campañas de educación financiera, cultura tributaria y uso de la facturación electrónica</w:t>
            </w:r>
          </w:p>
        </w:tc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Estudiantes de secundaria, comerciantes, organizaciones sociales y población en general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Transparencia y control social</w:t>
            </w:r>
          </w:p>
        </w:tc>
        <w:tc>
          <w:tcPr>
            <w:tcW w:type="dxa" w:w="425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Apoyo técnico a la rendición de cuentas y al control social de la gestión pública, y promoción de la ética y la prevención de la corrupción</w:t>
            </w:r>
          </w:p>
        </w:tc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Gobiernos municipales, organizaciones de control social y entidades públicas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Transferencia de conocimiento</w:t>
            </w:r>
          </w:p>
        </w:tc>
        <w:tc>
          <w:tcPr>
            <w:tcW w:type="dxa" w:w="425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Documentos de política pública, estudios y propuestas técnicas basados en las líneas de investigación del punto 6.2</w:t>
            </w:r>
          </w:p>
        </w:tc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Servicio de Impuestos Nacionales, Contraloría General del Estado, Colegio de Auditores o Contadores Públicos de Bolivia y entes reguladores</w:t>
            </w:r>
          </w:p>
        </w:tc>
      </w:tr>
      <w:tr>
        <w:tc>
          <w:tcPr>
            <w:tcW w:type="dxa" w:w="22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Vinculación con el medio profesional</w:t>
            </w:r>
          </w:p>
        </w:tc>
        <w:tc>
          <w:tcPr>
            <w:tcW w:type="dxa" w:w="425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Pasantías, prácticas preprofesionales, trabajos dirigidos y proyectos integradores con organizaciones reales</w:t>
            </w:r>
          </w:p>
        </w:tc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Entidades públicas, firmas de auditoría y empresas con convenio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7.1.3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Participación estudiantil y acreditación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Cada estudiante debe acreditar horas de interacción social durante la licenciatura, principalmente en el ciclo profesional y en el de integración, mediante su participación en la consultoría social contable, las campañas de educación financiera y tributaria o los proyectos de interacción social vinculados a las asignaturas. Las horas se registran con evidencias, como informes, listas de participación y constancias de las entidades beneficiarias, y se computan como horas no presenciales de las asignaturas vinculadas. La carga horaria mínima y el procedimiento de acreditación se fijarán en el Reglamento de Interacción Social de la Carrera, en concordancia con la normativa de la UMSA.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7.1.4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Metas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Conforme al Plan de Desarrollo 2026-2030, al año 2030 todos los estudiantes habilitados de tercer a quinto año deberán contar con prácticas por convenio, y todos los estudiantes deberán estar formados en el Código del IESBA y participar en la consultoría social contable.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7.2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Políticas y líneas de extensión universitaria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7.2.1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Políticas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Educación continua.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Carrera ofrece programas de actualización y especialización para sus graduados y para profesionales en ejercicio, en coherencia con la IES 7 de la IFAC sobre desarrollo profesional continuo.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Articulación con el postgrado.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oferta de extensión se articula con la Unidad de Postgrado y con la modalidad de graduación mediante diplomado del punto 5.4.2.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Difusión del conocimiento.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Carrera difunde la producción académica y normativa de la profesión mediante eventos, publicaciones y medios digitales.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Formación integral.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Se promueven actividades culturales, deportivas y de convivencia universitaria que fortalecen el saber ser y convivir.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Uso de la tecnología.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extensión aprovecha la plataforma virtual de la Carrera y los entornos virtuales de la Universidad para ampliar su alcance.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7.2.2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Líneas de extensión universitaria</w:t>
      </w:r>
    </w:p>
    <w:p>
      <w:pPr>
        <w:keepNext/>
        <w:spacing w:before="40" w:after="8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0"/>
        </w:rPr>
        <w:t>Cuadro 2. Líneas de extensión universitaria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tblHeader/>
        </w:trPr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Línea</w:t>
            </w:r>
          </w:p>
        </w:tc>
        <w:tc>
          <w:tcPr>
            <w:tcW w:type="dxa" w:w="65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Actividades</w:t>
            </w:r>
          </w:p>
        </w:tc>
      </w:tr>
      <w:tr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Educación continua y actualización profesional</w:t>
            </w:r>
          </w:p>
        </w:tc>
        <w:tc>
          <w:tcPr>
            <w:tcW w:type="dxa" w:w="65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Cursos de actualización normativa sobre NIIF, NIIF de Sostenibilidad, NIA, NIAS 5000, Código del IESBA y legislación tributaria; cursos de herramientas tecnológicas, análisis de datos e inteligencia artificial; y el Curso de Actualización en Metodología de la Investigación</w:t>
            </w:r>
          </w:p>
        </w:tc>
      </w:tr>
      <w:tr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Postgrado</w:t>
            </w:r>
          </w:p>
        </w:tc>
        <w:tc>
          <w:tcPr>
            <w:tcW w:type="dxa" w:w="65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Maestrías en Auditoría y Control Financiero, Auditoría Gubernamental y Control de Gestión, Tributación y Contabilidad Gerencial; diplomados en Tributación, Auditoría Forense, Control Interno, Contabilidad Minera, Gerencia Contable Bancaria y Auditoría en Banca y Finanzas; y el Programa de Doctorado en Ciencias Contables, Auditoría y Gestión Financiera</w:t>
            </w:r>
          </w:p>
        </w:tc>
      </w:tr>
      <w:tr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Difusión académica</w:t>
            </w:r>
          </w:p>
        </w:tc>
        <w:tc>
          <w:tcPr>
            <w:tcW w:type="dxa" w:w="65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Seminarios, congresos, jornadas de actualización, ferias de investigación y publicaciones del Instituto de Investigaciones</w:t>
            </w:r>
          </w:p>
        </w:tc>
      </w:tr>
      <w:tr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Formación virtual</w:t>
            </w:r>
          </w:p>
        </w:tc>
        <w:tc>
          <w:tcPr>
            <w:tcW w:type="dxa" w:w="65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 xml:space="preserve">Cursos en línea en la plataforma virtual de la Carrera 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  <w:highlight w:val="green"/>
              </w:rPr>
              <w:t>y aprovechamiento del Campus Virtual UMSA-Coursera, reglamentado por la Resolución HCU N.º 538/2022</w:t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, para estudiantes, docentes y graduados</w:t>
            </w:r>
          </w:p>
        </w:tc>
      </w:tr>
      <w:tr>
        <w:tc>
          <w:tcPr>
            <w:tcW w:type="dxa" w:w="25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Cultura, deporte y convivencia</w:t>
            </w:r>
          </w:p>
        </w:tc>
        <w:tc>
          <w:tcPr>
            <w:tcW w:type="dxa" w:w="65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Actividades culturales, deportivas y de integración de la comunidad universitaria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Las actividades de extensión son coordinadas por la Dirección de Carrera, la Unidad de Postgrado y el Instituto de Investigaciones, y se programan anualmente.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2"/>
    <w:lvlOverride w:ilvl="0">
      <w:startOverride w:val="1"/>
    </w:lvlOverride>
  </w:num>
  <w:num w:numId="902">
    <w:abstractNumId w:val="9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