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Organización del Proceso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8.</w:t>
        <w:tab/>
      </w:r>
      <w:r>
        <w:rPr>
          <w:rFonts w:ascii="Century Gothic" w:hAnsi="Century Gothic" w:cs="Century Gothic" w:eastAsia="Century Gothic"/>
          <w:b/>
          <w:i w:val="0"/>
          <w:sz w:val="24"/>
        </w:rPr>
        <w:t>Organización del proceso curricular</w:t>
      </w:r>
    </w:p>
    <w:p>
      <w:pPr>
        <w:spacing w:before="0" w:after="200" w:line="240" w:lineRule="auto"/>
        <w:jc w:val="both"/>
      </w:pPr>
      <w:r>
        <w:rPr>
          <w:rFonts w:ascii="Century Gothic" w:hAnsi="Century Gothic" w:cs="Century Gothic" w:eastAsia="Century Gothic"/>
          <w:b w:val="0"/>
          <w:i w:val="0"/>
          <w:sz w:val="20"/>
        </w:rPr>
        <w:t>Este punto organiza el tiempo académico del Plan de Estudios 2027 conforme a la malla curricular del punto 4.4.3 y al sistema de créditos del punto 4.3.5. Se considera que la hora académica tiene una duración de 45 minutos y que cada hora presencial se acompaña de una hora equivalente de trabajo autónomo del estudiante.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8.1</w:t>
        <w:tab/>
      </w:r>
      <w:r>
        <w:rPr>
          <w:rFonts w:ascii="Century Gothic" w:hAnsi="Century Gothic" w:cs="Century Gothic" w:eastAsia="Century Gothic"/>
          <w:b/>
          <w:i w:val="0"/>
          <w:sz w:val="24"/>
        </w:rPr>
        <w:t>Número de semanas lectivas por semestre/año</w:t>
      </w:r>
    </w:p>
    <w:p>
      <w:pPr>
        <w:spacing w:before="0" w:after="200" w:line="240" w:lineRule="auto"/>
        <w:jc w:val="both"/>
      </w:pPr>
      <w:r>
        <w:rPr>
          <w:rFonts w:ascii="Century Gothic" w:hAnsi="Century Gothic" w:cs="Century Gothic" w:eastAsia="Century Gothic"/>
          <w:b w:val="0"/>
          <w:i w:val="0"/>
          <w:sz w:val="20"/>
        </w:rPr>
        <w:t xml:space="preserve">El plan se desarrolla en régimen anual. Cada gestión académica comprende </w:t>
      </w:r>
      <w:r>
        <w:rPr>
          <w:rFonts w:ascii="Century Gothic" w:hAnsi="Century Gothic" w:cs="Century Gothic" w:eastAsia="Century Gothic"/>
          <w:b/>
          <w:i w:val="0"/>
          <w:sz w:val="20"/>
        </w:rPr>
        <w:t>40 semanas lectivas</w:t>
      </w:r>
      <w:r>
        <w:rPr>
          <w:rFonts w:ascii="Century Gothic" w:hAnsi="Century Gothic" w:cs="Century Gothic" w:eastAsia="Century Gothic"/>
          <w:b w:val="0"/>
          <w:i w:val="0"/>
          <w:sz w:val="20"/>
        </w:rPr>
        <w:t>, distribuidas en diez meses de estudio continuo, en concordancia con el calendario académico aprobado por el Honorable Consejo Universitario. Los cinco años de la Carrera suman 200 semanas lectivas. Los cursos intensivos de temporada, regulados en el punto 5.3.3, se desarrollan fuera de las 40 semanas, con una duración mínima de ocho semanas.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8.2</w:t>
        <w:tab/>
      </w:r>
      <w:r>
        <w:rPr>
          <w:rFonts w:ascii="Century Gothic" w:hAnsi="Century Gothic" w:cs="Century Gothic" w:eastAsia="Century Gothic"/>
          <w:b/>
          <w:i w:val="0"/>
          <w:sz w:val="24"/>
        </w:rPr>
        <w:t>Número de horas cronológicas por semana</w:t>
      </w:r>
    </w:p>
    <w:p>
      <w:pPr>
        <w:spacing w:before="0" w:after="200" w:line="240" w:lineRule="auto"/>
        <w:jc w:val="both"/>
      </w:pPr>
      <w:r>
        <w:rPr>
          <w:rFonts w:ascii="Century Gothic" w:hAnsi="Century Gothic" w:cs="Century Gothic" w:eastAsia="Century Gothic"/>
          <w:b w:val="0"/>
          <w:i w:val="0"/>
          <w:sz w:val="20"/>
        </w:rPr>
        <w:t>La carga semanal varía según el año de formación. Las horas académicas se convierten a horas cronológicas multiplicándolas por 0,75:</w:t>
      </w:r>
    </w:p>
    <w:p>
      <w:pPr>
        <w:keepNext/>
        <w:spacing w:before="40" w:after="80" w:line="240" w:lineRule="auto"/>
        <w:jc w:val="center"/>
      </w:pPr>
      <w:r>
        <w:rPr>
          <w:rFonts w:ascii="Century Gothic" w:hAnsi="Century Gothic" w:cs="Century Gothic" w:eastAsia="Century Gothic"/>
          <w:b/>
          <w:i w:val="0"/>
          <w:sz w:val="20"/>
        </w:rPr>
        <w:t>Cuadro 1. Horas por semana según el año de formación</w:t>
      </w:r>
    </w:p>
    <w:tbl>
      <w:tblPr>
        <w:tblW w:type="auto" w:w="0"/>
        <w:jc w:val="center"/>
        <w:tblLayout w:type="fixed"/>
        <w:tblLook w:firstColumn="1" w:firstRow="1" w:lastColumn="0" w:lastRow="0" w:noHBand="0" w:noVBand="1" w:val="04A0"/>
      </w:tblPr>
      <w:tblGrid>
        <w:gridCol w:w="1701"/>
        <w:gridCol w:w="1814"/>
        <w:gridCol w:w="1814"/>
        <w:gridCol w:w="1814"/>
        <w:gridCol w:w="1928"/>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académicas presenciales</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presenciales</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no presenciales</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 de horas cronológicas de trabajo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Segundo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Tercero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48</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Cuarto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48</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Quinto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Promedio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22,5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45</w:t>
            </w:r>
          </w:p>
        </w:tc>
      </w:tr>
    </w:tbl>
    <w:p>
      <w:pPr>
        <w:spacing w:before="40" w:after="200" w:line="240" w:lineRule="auto"/>
        <w:jc w:val="left"/>
      </w:pPr>
      <w:r>
        <w:rPr>
          <w:rFonts w:ascii="Century Gothic" w:hAnsi="Century Gothic" w:cs="Century Gothic" w:eastAsia="Century Gothic"/>
          <w:b w:val="0"/>
          <w:i w:val="0"/>
          <w:sz w:val="16"/>
        </w:rPr>
        <w:t>Fuente: elaboración con base en la malla curricular 2027.</w:t>
      </w:r>
    </w:p>
    <w:p>
      <w:pPr>
        <w:spacing w:before="0" w:after="200" w:line="240" w:lineRule="auto"/>
        <w:jc w:val="both"/>
      </w:pPr>
      <w:r>
        <w:rPr>
          <w:rFonts w:ascii="Century Gothic" w:hAnsi="Century Gothic" w:cs="Century Gothic" w:eastAsia="Century Gothic"/>
          <w:b w:val="0"/>
          <w:i w:val="0"/>
          <w:sz w:val="20"/>
        </w:rPr>
        <w:t>El promedio de 45 horas cronológicas de trabajo por semana coincide con la dedicación prevista por el sistema de créditos de la UMSA, de 1.800 horas anuales en 40 semanas. Las horas presenciales se distribuyen de lunes a sábado en los turnos diurno y nocturno.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8.3</w:t>
        <w:tab/>
      </w:r>
      <w:r>
        <w:rPr>
          <w:rFonts w:ascii="Century Gothic" w:hAnsi="Century Gothic" w:cs="Century Gothic" w:eastAsia="Century Gothic"/>
          <w:b/>
          <w:i w:val="0"/>
          <w:sz w:val="24"/>
        </w:rPr>
        <w:t>Total de horas planificadas</w:t>
      </w:r>
    </w:p>
    <w:p>
      <w:pPr>
        <w:keepNext/>
        <w:spacing w:before="40" w:after="80" w:line="240" w:lineRule="auto"/>
        <w:jc w:val="center"/>
      </w:pPr>
      <w:r>
        <w:rPr>
          <w:rFonts w:ascii="Century Gothic" w:hAnsi="Century Gothic" w:cs="Century Gothic" w:eastAsia="Century Gothic"/>
          <w:b/>
          <w:i w:val="0"/>
          <w:sz w:val="20"/>
        </w:rPr>
        <w:t>Cuadro 2. Horas planificadas por año</w:t>
      </w:r>
    </w:p>
    <w:tbl>
      <w:tblPr>
        <w:tblW w:type="auto" w:w="0"/>
        <w:jc w:val="center"/>
        <w:tblLayout w:type="fixed"/>
        <w:tblLook w:firstColumn="1" w:firstRow="1" w:lastColumn="0" w:lastRow="0" w:noHBand="0" w:noVBand="1" w:val="04A0"/>
      </w:tblPr>
      <w:tblGrid>
        <w:gridCol w:w="1701"/>
        <w:gridCol w:w="1701"/>
        <w:gridCol w:w="1928"/>
        <w:gridCol w:w="1928"/>
        <w:gridCol w:w="1814"/>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académicas</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presenciales</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no presenciales</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 de horas de trabajo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1.040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780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780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1.560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Segundo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1.800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Tercero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1.280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960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960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1.920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Cuarto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1.280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960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960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1.920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Quinto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1.800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6.000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4.500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4.500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9.000</w:t>
            </w:r>
          </w:p>
        </w:tc>
      </w:tr>
    </w:tbl>
    <w:p>
      <w:pPr>
        <w:spacing w:before="40" w:after="200" w:line="240" w:lineRule="auto"/>
        <w:jc w:val="left"/>
      </w:pPr>
      <w:r>
        <w:rPr>
          <w:rFonts w:ascii="Century Gothic" w:hAnsi="Century Gothic" w:cs="Century Gothic" w:eastAsia="Century Gothic"/>
          <w:b w:val="0"/>
          <w:i w:val="0"/>
          <w:sz w:val="16"/>
        </w:rPr>
        <w:t>Fuente: elaboración con base en la malla curricular 2027.</w:t>
      </w:r>
    </w:p>
    <w:p>
      <w:pPr>
        <w:spacing w:before="0" w:after="200" w:line="240" w:lineRule="auto"/>
        <w:jc w:val="both"/>
      </w:pPr>
      <w:r>
        <w:rPr>
          <w:rFonts w:ascii="Century Gothic" w:hAnsi="Century Gothic" w:cs="Century Gothic" w:eastAsia="Century Gothic"/>
          <w:b w:val="0"/>
          <w:i w:val="0"/>
          <w:sz w:val="20"/>
        </w:rPr>
        <w:t xml:space="preserve">El plan totaliza </w:t>
      </w:r>
      <w:r>
        <w:rPr>
          <w:rFonts w:ascii="Century Gothic" w:hAnsi="Century Gothic" w:cs="Century Gothic" w:eastAsia="Century Gothic"/>
          <w:b/>
          <w:i w:val="0"/>
          <w:sz w:val="20"/>
        </w:rPr>
        <w:t>6.000 horas académicas</w:t>
      </w:r>
      <w:r>
        <w:rPr>
          <w:rFonts w:ascii="Century Gothic" w:hAnsi="Century Gothic" w:cs="Century Gothic" w:eastAsia="Century Gothic"/>
          <w:b w:val="0"/>
          <w:i w:val="0"/>
          <w:sz w:val="20"/>
        </w:rPr>
        <w:t xml:space="preserve"> presenciales, equivalentes a 4.500 horas cronológicas, y </w:t>
      </w:r>
      <w:r>
        <w:rPr>
          <w:rFonts w:ascii="Century Gothic" w:hAnsi="Century Gothic" w:cs="Century Gothic" w:eastAsia="Century Gothic"/>
          <w:b/>
          <w:i w:val="0"/>
          <w:sz w:val="20"/>
        </w:rPr>
        <w:t>9.000 horas de trabajo</w:t>
      </w:r>
      <w:r>
        <w:rPr>
          <w:rFonts w:ascii="Century Gothic" w:hAnsi="Century Gothic" w:cs="Century Gothic" w:eastAsia="Century Gothic"/>
          <w:b w:val="0"/>
          <w:i w:val="0"/>
          <w:sz w:val="20"/>
        </w:rPr>
        <w:t xml:space="preserve"> del estudiante al sumar las 4.500 horas cronológicas no presenciales. Las 6.000 horas académicas corresponden al máximo fijado por el Artículo 28 del Reglamento General de Títulos y Grados y se ubican en el límite superior del rango de 4.500 a 6.000 horas compatibilizado por la III-XIII Reunión Sectorial de las Carreras de Contaduría Pública. De ese total, 4.000 horas, el 66,67 %, corresponden a las áreas troncales y 2.000 horas, el 33,33 %, a las áreas contextuales.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8.4</w:t>
        <w:tab/>
      </w:r>
      <w:r>
        <w:rPr>
          <w:rFonts w:ascii="Century Gothic" w:hAnsi="Century Gothic" w:cs="Century Gothic" w:eastAsia="Century Gothic"/>
          <w:b/>
          <w:i w:val="0"/>
          <w:sz w:val="24"/>
        </w:rPr>
        <w:t>Carga horaria cronológica en actividades de investigación</w:t>
      </w:r>
    </w:p>
    <w:p>
      <w:pPr>
        <w:spacing w:before="0" w:after="200" w:line="240" w:lineRule="auto"/>
        <w:jc w:val="both"/>
      </w:pPr>
      <w:r>
        <w:rPr>
          <w:rFonts w:ascii="Century Gothic" w:hAnsi="Century Gothic" w:cs="Century Gothic" w:eastAsia="Century Gothic"/>
          <w:b w:val="0"/>
          <w:i w:val="0"/>
          <w:sz w:val="20"/>
        </w:rPr>
        <w:t>La investigación se desarrolla en asignaturas específicas, de forma transversal en las demás asignaturas y en las modalidades de graduación, conforme al punto 6.1.3:</w:t>
      </w:r>
    </w:p>
    <w:p>
      <w:pPr>
        <w:keepNext/>
        <w:spacing w:before="40" w:after="80" w:line="240" w:lineRule="auto"/>
        <w:jc w:val="center"/>
      </w:pPr>
      <w:r>
        <w:rPr>
          <w:rFonts w:ascii="Century Gothic" w:hAnsi="Century Gothic" w:cs="Century Gothic" w:eastAsia="Century Gothic"/>
          <w:b/>
          <w:i w:val="0"/>
          <w:sz w:val="20"/>
        </w:rPr>
        <w:t>Cuadro 3. Carga horaria en actividades de investigación</w:t>
      </w:r>
    </w:p>
    <w:tbl>
      <w:tblPr>
        <w:tblW w:type="auto" w:w="0"/>
        <w:jc w:val="center"/>
        <w:tblLayout w:type="fixed"/>
        <w:tblLook w:firstColumn="1" w:firstRow="1" w:lastColumn="0" w:lastRow="0" w:noHBand="0" w:noVBand="1" w:val="04A0"/>
      </w:tblPr>
      <w:tblGrid>
        <w:gridCol w:w="3175"/>
        <w:gridCol w:w="907"/>
        <w:gridCol w:w="1644"/>
        <w:gridCol w:w="1644"/>
        <w:gridCol w:w="1701"/>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Actividad</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16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presenciales</w:t>
            </w:r>
          </w:p>
        </w:tc>
        <w:tc>
          <w:tcPr>
            <w:tcW w:type="dxa" w:w="16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cronológicas no presenciales</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 Métodos y Técnicas de Investigación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Taller de Grado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Subtotal en asignaturas de investigación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120</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240</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Investigación formativa en las demás asignaturas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a 5.°</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Según cada plan de asignatura</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Según cada plan de asignatura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Variable</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Elaboración de tesis o proyecto de grado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Egreso</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Tutoría</w:t>
            </w:r>
          </w:p>
        </w:tc>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Hasta 12 meses de trabajo autónomo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Variable</w:t>
            </w:r>
          </w:p>
        </w:tc>
      </w:tr>
    </w:tbl>
    <w:p>
      <w:pPr>
        <w:spacing w:before="40" w:after="200" w:line="240" w:lineRule="auto"/>
        <w:jc w:val="left"/>
      </w:pPr>
      <w:r>
        <w:rPr>
          <w:rFonts w:ascii="Century Gothic" w:hAnsi="Century Gothic" w:cs="Century Gothic" w:eastAsia="Century Gothic"/>
          <w:b w:val="0"/>
          <w:i w:val="0"/>
          <w:sz w:val="16"/>
        </w:rPr>
        <w:t>Fuente: elaboración con base en la malla curricular 2027 y el punto 5.4.</w:t>
      </w:r>
    </w:p>
    <w:p>
      <w:pPr>
        <w:spacing w:before="0" w:after="200" w:line="240" w:lineRule="auto"/>
        <w:jc w:val="both"/>
      </w:pPr>
      <w:r>
        <w:rPr>
          <w:rFonts w:ascii="Century Gothic" w:hAnsi="Century Gothic" w:cs="Century Gothic" w:eastAsia="Century Gothic"/>
          <w:b w:val="0"/>
          <w:i w:val="0"/>
          <w:sz w:val="20"/>
        </w:rPr>
        <w:t>Las dos asignaturas de investigación suman 240 horas cronológicas de trabajo, equivalentes a 8 créditos. Cada plan de asignatura debe destinar parte de sus horas no presenciales a trabajos de investigación formativa vinculados a las líneas del punto 6.2, conforme al Artículo 12 de la Resolución HCU N.º 032/2025. En el nivel docente, el Instituto de Investigaciones cuenta con 320 horas mensuales asignadas a su Director y a sus dos docentes investigadores.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8.5</w:t>
        <w:tab/>
      </w:r>
      <w:r>
        <w:rPr>
          <w:rFonts w:ascii="Century Gothic" w:hAnsi="Century Gothic" w:cs="Century Gothic" w:eastAsia="Century Gothic"/>
          <w:b/>
          <w:i w:val="0"/>
          <w:sz w:val="24"/>
        </w:rPr>
        <w:t>Sistema de créditos</w:t>
      </w:r>
    </w:p>
    <w:p>
      <w:pPr>
        <w:spacing w:before="0" w:after="200" w:line="240" w:lineRule="auto"/>
        <w:jc w:val="both"/>
      </w:pPr>
      <w:r>
        <w:rPr>
          <w:rFonts w:ascii="Century Gothic" w:hAnsi="Century Gothic" w:cs="Century Gothic" w:eastAsia="Century Gothic"/>
          <w:b w:val="0"/>
          <w:i w:val="0"/>
          <w:sz w:val="20"/>
        </w:rPr>
        <w:t xml:space="preserve">El plan aplica el Sistema de Créditos Académicos de la UMSA, desarrollado en el punto 4.3.5: un crédito equivale a 30 horas de trabajo del estudiante, presenciales y no presenciales, con 60 créditos y 1.800 horas de referencia por año. La Carrera suma </w:t>
      </w:r>
      <w:r>
        <w:rPr>
          <w:rFonts w:ascii="Century Gothic" w:hAnsi="Century Gothic" w:cs="Century Gothic" w:eastAsia="Century Gothic"/>
          <w:b/>
          <w:i w:val="0"/>
          <w:sz w:val="20"/>
        </w:rPr>
        <w:t>300 créditos</w:t>
      </w:r>
      <w:r>
        <w:rPr>
          <w:rFonts w:ascii="Century Gothic" w:hAnsi="Century Gothic" w:cs="Century Gothic" w:eastAsia="Century Gothic"/>
          <w:b w:val="0"/>
          <w:i w:val="0"/>
          <w:sz w:val="20"/>
        </w:rPr>
        <w:t>, equivalentes a 300 créditos del Crédito Latinoamericano de Referencia. Las asignaturas de 4 horas académicas semanales tienen 8 créditos y las de 2 horas, 4 créditos.</w:t>
      </w:r>
    </w:p>
    <w:p>
      <w:pPr>
        <w:keepNext/>
        <w:spacing w:before="40" w:after="80" w:line="240" w:lineRule="auto"/>
        <w:jc w:val="center"/>
      </w:pPr>
      <w:r>
        <w:rPr>
          <w:rFonts w:ascii="Century Gothic" w:hAnsi="Century Gothic" w:cs="Century Gothic" w:eastAsia="Century Gothic"/>
          <w:b/>
          <w:i w:val="0"/>
          <w:sz w:val="20"/>
        </w:rPr>
        <w:t>Cuadro 4. Créditos por año</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 de 8 créditos</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 de 4 créditos</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Créditos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52</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Segundo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60</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Tercero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Cuarto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Quinto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60</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300</w:t>
            </w:r>
          </w:p>
        </w:tc>
      </w:tr>
    </w:tbl>
    <w:p>
      <w:pPr>
        <w:spacing w:before="40" w:after="200" w:line="240" w:lineRule="auto"/>
        <w:jc w:val="left"/>
      </w:pPr>
      <w:r>
        <w:rPr>
          <w:rFonts w:ascii="Century Gothic" w:hAnsi="Century Gothic" w:cs="Century Gothic" w:eastAsia="Century Gothic"/>
          <w:b w:val="0"/>
          <w:i w:val="0"/>
          <w:sz w:val="16"/>
        </w:rPr>
        <w:t>Fuente: elaboración con base en la malla curricular 2027.</w:t>
      </w:r>
    </w:p>
    <w:p>
      <w:pPr>
        <w:spacing w:before="0" w:after="200" w:line="240" w:lineRule="auto"/>
        <w:jc w:val="both"/>
      </w:pPr>
      <w:r>
        <w:rPr>
          <w:rFonts w:ascii="Century Gothic" w:hAnsi="Century Gothic" w:cs="Century Gothic" w:eastAsia="Century Gothic"/>
          <w:b w:val="0"/>
          <w:i w:val="0"/>
          <w:sz w:val="20"/>
        </w:rPr>
        <w:t>La distribución anual varía entre 52 y 64 créditos en torno al normalizador de 60 créditos por año, y el total de la Carrera coincide con los 300 créditos de referencia.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8.6</w:t>
        <w:tab/>
      </w:r>
      <w:r>
        <w:rPr>
          <w:rFonts w:ascii="Century Gothic" w:hAnsi="Century Gothic" w:cs="Century Gothic" w:eastAsia="Century Gothic"/>
          <w:b/>
          <w:i w:val="0"/>
          <w:sz w:val="24"/>
        </w:rPr>
        <w:t>Número de estudiantes por asignatura</w:t>
      </w:r>
    </w:p>
    <w:p>
      <w:pPr>
        <w:spacing w:before="0" w:after="200" w:line="240" w:lineRule="auto"/>
        <w:jc w:val="both"/>
      </w:pPr>
      <w:r>
        <w:rPr>
          <w:rFonts w:ascii="Century Gothic" w:hAnsi="Century Gothic" w:cs="Century Gothic" w:eastAsia="Century Gothic"/>
          <w:b w:val="0"/>
          <w:i w:val="0"/>
          <w:sz w:val="20"/>
        </w:rPr>
        <w:t>El Artículo 12 de la Resolución HCU N.º 032/2025 exige especificar el número mínimo y máximo de estudiantes por asignatura o paralelo. La situación actual muestra una relación muy elevada para un modelo por competencias:</w:t>
      </w:r>
    </w:p>
    <w:p>
      <w:pPr>
        <w:keepNext/>
        <w:spacing w:before="40" w:after="80" w:line="240" w:lineRule="auto"/>
        <w:jc w:val="center"/>
      </w:pPr>
      <w:r>
        <w:rPr>
          <w:rFonts w:ascii="Century Gothic" w:hAnsi="Century Gothic" w:cs="Century Gothic" w:eastAsia="Century Gothic"/>
          <w:b/>
          <w:i w:val="0"/>
          <w:sz w:val="20"/>
        </w:rPr>
        <w:t>Cuadro 5. Estudiantes inscritos por asignatura y paralelo</w:t>
      </w:r>
    </w:p>
    <w:tbl>
      <w:tblPr>
        <w:tblW w:type="auto" w:w="0"/>
        <w:jc w:val="center"/>
        <w:tblLayout w:type="fixed"/>
        <w:tblLook w:firstColumn="1" w:firstRow="1" w:lastColumn="0" w:lastRow="0" w:noHBand="0" w:noVBand="1" w:val="04A0"/>
      </w:tblPr>
      <w:tblGrid>
        <w:gridCol w:w="4309"/>
        <w:gridCol w:w="1191"/>
        <w:gridCol w:w="1191"/>
        <w:gridCol w:w="1191"/>
        <w:gridCol w:w="1191"/>
      </w:tblGrid>
      <w:tr>
        <w:trPr>
          <w:tblHeader/>
        </w:trPr>
        <w:tc>
          <w:tcPr>
            <w:tcW w:type="dxa" w:w="4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Concepto</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Inscripciones por asignatura y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22.636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23.811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23.983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24.117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Paralelos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Promedio de estudiantes por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106</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 Diagnóstico 2026.</w:t>
      </w:r>
    </w:p>
    <w:p>
      <w:pPr>
        <w:spacing w:before="0" w:after="200" w:line="240" w:lineRule="auto"/>
        <w:jc w:val="both"/>
      </w:pPr>
      <w:r>
        <w:rPr>
          <w:rFonts w:ascii="Century Gothic" w:hAnsi="Century Gothic" w:cs="Century Gothic" w:eastAsia="Century Gothic"/>
          <w:b w:val="0"/>
          <w:i w:val="0"/>
          <w:sz w:val="20"/>
        </w:rPr>
        <w:t>Para la implementación del Plan 2027 se establecen los siguientes parámetros:</w:t>
      </w:r>
    </w:p>
    <w:p>
      <w:pPr>
        <w:keepNext/>
        <w:spacing w:before="40" w:after="80" w:line="240" w:lineRule="auto"/>
        <w:jc w:val="center"/>
      </w:pPr>
      <w:r>
        <w:rPr>
          <w:rFonts w:ascii="Century Gothic" w:hAnsi="Century Gothic" w:cs="Century Gothic" w:eastAsia="Century Gothic"/>
          <w:b/>
          <w:i w:val="0"/>
          <w:sz w:val="20"/>
        </w:rPr>
        <w:t>Cuadro 6. Parámetros de estudiantes por paralelo</w:t>
      </w:r>
    </w:p>
    <w:tbl>
      <w:tblPr>
        <w:tblW w:type="auto" w:w="0"/>
        <w:jc w:val="center"/>
        <w:tblLayout w:type="fixed"/>
        <w:tblLook w:firstColumn="1" w:firstRow="1" w:lastColumn="0" w:lastRow="0" w:noHBand="0" w:noVBand="1" w:val="04A0"/>
      </w:tblPr>
      <w:tblGrid>
        <w:gridCol w:w="2835"/>
        <w:gridCol w:w="1701"/>
        <w:gridCol w:w="4535"/>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 de actividad</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Máximo de estudiantes</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Criterio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Clases teóricas, meta intermedia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Primera etapa de implementación; requiere 302 paralelos, 75 más que en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Clases teóricas, meta objetivo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Relación adecuada para la evaluación por competencias; requiere 402 paralelos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Laboratorios de computación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Según el número de equipos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estudiante por equipo; los laboratorios de la Carrera tienen 70 y 39 equipos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Gabinetes, talleres y prácticas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Grupos desdoblados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Componentes prácticos con apoyo de auxiliares de docencia y horas no presenciales con seguimiento en la plataforma virtual</w:t>
            </w:r>
          </w:p>
        </w:tc>
      </w:tr>
    </w:tbl>
    <w:p>
      <w:pPr>
        <w:spacing w:before="40" w:after="200" w:line="240" w:lineRule="auto"/>
        <w:jc w:val="left"/>
      </w:pPr>
      <w:r>
        <w:rPr>
          <w:rFonts w:ascii="Century Gothic" w:hAnsi="Century Gothic" w:cs="Century Gothic" w:eastAsia="Century Gothic"/>
          <w:b w:val="0"/>
          <w:i w:val="0"/>
          <w:sz w:val="16"/>
        </w:rPr>
        <w:t>Cálculo de paralelos: 24.117 inscripciones de 2026 divididas entre el número máximo de estudiantes, redondeado al entero superior.</w:t>
      </w:r>
    </w:p>
    <w:p>
      <w:pPr>
        <w:spacing w:before="0" w:after="200" w:line="240" w:lineRule="auto"/>
        <w:jc w:val="both"/>
      </w:pPr>
      <w:r>
        <w:rPr>
          <w:rFonts w:ascii="Century Gothic" w:hAnsi="Century Gothic" w:cs="Century Gothic" w:eastAsia="Century Gothic"/>
          <w:b w:val="0"/>
          <w:i w:val="0"/>
          <w:sz w:val="20"/>
        </w:rPr>
        <w:t>Dado que la meta objetivo no es financiable de inmediato, la reducción será gradual y priorizará el desdoblamiento de los componentes prácticos y de laboratorio. El número mínimo de estudiantes para abrir un paralelo se rige por la reglamentación universitaria vigente. El número de paralelos y la asignación docente correspondiente se planifican cada gestión, conforme a los puntos 11.2 y 16.2.</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