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40" w:lineRule="auto"/>
        <w:jc w:val="center"/>
      </w:pPr>
      <w:r>
        <w:rPr>
          <w:rFonts w:ascii="Century Gothic" w:hAnsi="Century Gothic" w:cs="Century Gothic" w:eastAsia="Century Gothic"/>
          <w:b/>
          <w:i w:val="0"/>
          <w:sz w:val="28"/>
        </w:rPr>
        <w:t>Atención a las recomendaciones de Secretaría Académica</w:t>
      </w:r>
    </w:p>
    <w:p>
      <w:pPr>
        <w:keepNext/>
        <w:spacing w:before="40" w:after="80" w:line="240" w:lineRule="auto"/>
        <w:jc w:val="center"/>
      </w:pPr>
      <w:r>
        <w:rPr>
          <w:rFonts w:ascii="Century Gothic" w:hAnsi="Century Gothic" w:cs="Century Gothic" w:eastAsia="Century Gothic"/>
          <w:b/>
          <w:i w:val="0"/>
          <w:sz w:val="20"/>
        </w:rPr>
        <w:t>Lista de control de las recomendaciones (Nota STRIA.ACAD. N.º 1793/2026)</w:t>
      </w:r>
    </w:p>
    <w:tbl>
      <w:tblPr>
        <w:tblW w:type="auto" w:w="0"/>
        <w:jc w:val="center"/>
        <w:tblLayout w:type="fixed"/>
        <w:tblLook w:firstColumn="1" w:firstRow="1" w:lastColumn="0" w:lastRow="0" w:noHBand="0" w:noVBand="1" w:val="04A0"/>
      </w:tblPr>
      <w:tblGrid>
        <w:gridCol w:w="454"/>
        <w:gridCol w:w="2268"/>
        <w:gridCol w:w="2381"/>
        <w:gridCol w:w="2268"/>
        <w:gridCol w:w="1701"/>
      </w:tblGrid>
      <w:tr>
        <w:trPr>
          <w:tblHeader/>
        </w:trPr>
        <w:tc>
          <w:tcPr>
            <w:tcW w:type="dxa" w:w="4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N.º</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Recomendación</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Contenido que se adjunta</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Puntos de destino</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7"/>
              </w:rPr>
              <w:t>Decisión</w:t>
            </w:r>
          </w:p>
        </w:tc>
      </w:tr>
      <w:tr>
        <w:tc>
          <w:tcPr>
            <w:tcW w:type="dxa" w:w="4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Documentación metodológica del estudio de mercado laboral y proyecciones de demanda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Metodología del estudio, fichas técnicas, triangulación, proyecciones y cuatro gráficos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3.3.4, 3.3.5, 3.3.6, 3.1.3, 3.2.1, 3.3.2, 9.1.2, 11.1.1, 12.1.5 y 12.2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 Adjuntar</w:t>
            </w:r>
          </w:p>
          <w:p>
            <w:pPr>
              <w:spacing w:before="0" w:after="0" w:line="240" w:lineRule="auto"/>
              <w:jc w:val="both"/>
            </w:pPr>
            <w:r>
              <w:rPr>
                <w:rFonts w:ascii="Century Gothic" w:hAnsi="Century Gothic" w:cs="Century Gothic" w:eastAsia="Century Gothic"/>
                <w:b w:val="0"/>
                <w:i w:val="0"/>
                <w:sz w:val="17"/>
              </w:rPr>
              <w:t>☐ Corregir</w:t>
            </w:r>
          </w:p>
          <w:p>
            <w:pPr>
              <w:spacing w:before="0" w:after="0" w:line="240" w:lineRule="auto"/>
              <w:jc w:val="both"/>
            </w:pPr>
            <w:r>
              <w:rPr>
                <w:rFonts w:ascii="Century Gothic" w:hAnsi="Century Gothic" w:cs="Century Gothic" w:eastAsia="Century Gothic"/>
                <w:b w:val="0"/>
                <w:i w:val="0"/>
                <w:sz w:val="17"/>
              </w:rPr>
              <w:t>☐ No incorporar</w:t>
            </w:r>
          </w:p>
        </w:tc>
      </w:tr>
      <w:tr>
        <w:tc>
          <w:tcPr>
            <w:tcW w:type="dxa" w:w="4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Recursos académicos, tecnológicos y convenios para las prácticas preprofesionales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Disponibilidad de recursos y convenios, reglamento de prácticas y formularios de evidencia</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4.8.4, 4.8.2, 4.8.3, 10.4, 11.2.3, 11.3.4, 12.1.2, 13.1.2 y 16.2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 Adjuntar</w:t>
            </w:r>
          </w:p>
          <w:p>
            <w:pPr>
              <w:spacing w:before="0" w:after="0" w:line="240" w:lineRule="auto"/>
              <w:jc w:val="both"/>
            </w:pPr>
            <w:r>
              <w:rPr>
                <w:rFonts w:ascii="Century Gothic" w:hAnsi="Century Gothic" w:cs="Century Gothic" w:eastAsia="Century Gothic"/>
                <w:b w:val="0"/>
                <w:i w:val="0"/>
                <w:sz w:val="17"/>
              </w:rPr>
              <w:t>☐ Corregir</w:t>
            </w:r>
          </w:p>
          <w:p>
            <w:pPr>
              <w:spacing w:before="0" w:after="0" w:line="240" w:lineRule="auto"/>
              <w:jc w:val="both"/>
            </w:pPr>
            <w:r>
              <w:rPr>
                <w:rFonts w:ascii="Century Gothic" w:hAnsi="Century Gothic" w:cs="Century Gothic" w:eastAsia="Century Gothic"/>
                <w:b w:val="0"/>
                <w:i w:val="0"/>
                <w:sz w:val="17"/>
              </w:rPr>
              <w:t>☐ No incorporar</w:t>
            </w:r>
          </w:p>
        </w:tc>
      </w:tr>
      <w:tr>
        <w:tc>
          <w:tcPr>
            <w:tcW w:type="dxa" w:w="4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3</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Sistemas de evaluación de las 43 asignaturas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Sistema de evaluación común y verificación por asignatura</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4.7.4 y planes CPA-504 y CPA-508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 Adjuntar</w:t>
            </w:r>
          </w:p>
          <w:p>
            <w:pPr>
              <w:spacing w:before="0" w:after="0" w:line="240" w:lineRule="auto"/>
              <w:jc w:val="both"/>
            </w:pPr>
            <w:r>
              <w:rPr>
                <w:rFonts w:ascii="Century Gothic" w:hAnsi="Century Gothic" w:cs="Century Gothic" w:eastAsia="Century Gothic"/>
                <w:b w:val="0"/>
                <w:i w:val="0"/>
                <w:sz w:val="17"/>
              </w:rPr>
              <w:t>☐ Corregir</w:t>
            </w:r>
          </w:p>
          <w:p>
            <w:pPr>
              <w:spacing w:before="0" w:after="0" w:line="240" w:lineRule="auto"/>
              <w:jc w:val="both"/>
            </w:pPr>
            <w:r>
              <w:rPr>
                <w:rFonts w:ascii="Century Gothic" w:hAnsi="Century Gothic" w:cs="Century Gothic" w:eastAsia="Century Gothic"/>
                <w:b w:val="0"/>
                <w:i w:val="0"/>
                <w:sz w:val="17"/>
              </w:rPr>
              <w:t>☐ No incorporar</w:t>
            </w:r>
          </w:p>
        </w:tc>
      </w:tr>
      <w:tr>
        <w:tc>
          <w:tcPr>
            <w:tcW w:type="dxa" w:w="4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4</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Clasificación de las asignaturas y unidades horarias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Clasificación de las 43 asignaturas y correcciones de concordancia</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4.4.1, 4.5, 8.5, 13.1.3 y 4.3.5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 Adjuntar</w:t>
            </w:r>
          </w:p>
          <w:p>
            <w:pPr>
              <w:spacing w:before="0" w:after="0" w:line="240" w:lineRule="auto"/>
              <w:jc w:val="both"/>
            </w:pPr>
            <w:r>
              <w:rPr>
                <w:rFonts w:ascii="Century Gothic" w:hAnsi="Century Gothic" w:cs="Century Gothic" w:eastAsia="Century Gothic"/>
                <w:b w:val="0"/>
                <w:i w:val="0"/>
                <w:sz w:val="17"/>
              </w:rPr>
              <w:t>☐ Corregir</w:t>
            </w:r>
          </w:p>
          <w:p>
            <w:pPr>
              <w:spacing w:before="0" w:after="0" w:line="240" w:lineRule="auto"/>
              <w:jc w:val="both"/>
            </w:pPr>
            <w:r>
              <w:rPr>
                <w:rFonts w:ascii="Century Gothic" w:hAnsi="Century Gothic" w:cs="Century Gothic" w:eastAsia="Century Gothic"/>
                <w:b w:val="0"/>
                <w:i w:val="0"/>
                <w:sz w:val="17"/>
              </w:rPr>
              <w:t>☐ No incorporar</w:t>
            </w:r>
          </w:p>
        </w:tc>
      </w:tr>
      <w:tr>
        <w:tc>
          <w:tcPr>
            <w:tcW w:type="dxa" w:w="4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5</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Dimensiones transversales del perfil profesional</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Matriz de ejes transversales e indicadores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4.4.1 y 12.1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7"/>
              </w:rPr>
              <w:t>☐ Adjuntar</w:t>
            </w:r>
          </w:p>
          <w:p>
            <w:pPr>
              <w:spacing w:before="0" w:after="0" w:line="240" w:lineRule="auto"/>
              <w:jc w:val="both"/>
            </w:pPr>
            <w:r>
              <w:rPr>
                <w:rFonts w:ascii="Century Gothic" w:hAnsi="Century Gothic" w:cs="Century Gothic" w:eastAsia="Century Gothic"/>
                <w:b w:val="0"/>
                <w:i w:val="0"/>
                <w:sz w:val="17"/>
              </w:rPr>
              <w:t>☐ Corregir</w:t>
            </w:r>
          </w:p>
          <w:p>
            <w:pPr>
              <w:spacing w:before="0" w:after="0" w:line="240" w:lineRule="auto"/>
              <w:jc w:val="both"/>
            </w:pPr>
            <w:r>
              <w:rPr>
                <w:rFonts w:ascii="Century Gothic" w:hAnsi="Century Gothic" w:cs="Century Gothic" w:eastAsia="Century Gothic"/>
                <w:b w:val="0"/>
                <w:i w:val="0"/>
                <w:sz w:val="17"/>
              </w:rPr>
              <w:t>☐ No incorporar</w:t>
            </w:r>
          </w:p>
        </w:tc>
      </w:tr>
    </w:tbl>
    <w:p>
      <w:pPr>
        <w:spacing w:before="0" w:after="120" w:line="240" w:lineRule="auto"/>
        <w:jc w:val="left"/>
      </w:pPr>
    </w:p>
    <w:p>
      <w:r>
        <w:br w:type="page"/>
      </w:r>
    </w:p>
    <w:p>
      <w:pPr>
        <w:keepNext/>
        <w:spacing w:before="160" w:after="200" w:line="240" w:lineRule="auto"/>
        <w:jc w:val="left"/>
      </w:pPr>
      <w:r>
        <w:rPr>
          <w:rFonts w:ascii="Century Gothic" w:hAnsi="Century Gothic" w:cs="Century Gothic" w:eastAsia="Century Gothic"/>
          <w:b/>
          <w:i w:val="0"/>
          <w:sz w:val="24"/>
        </w:rPr>
        <w:t>Recomendación 1. Estudio de mercado laboral y proyecciones de demanda</w:t>
      </w:r>
    </w:p>
    <w:p>
      <w:pPr>
        <w:keepNext/>
        <w:spacing w:before="40" w:after="200" w:line="240" w:lineRule="auto"/>
        <w:jc w:val="left"/>
      </w:pPr>
      <w:r>
        <w:rPr>
          <w:rFonts w:ascii="Century Gothic" w:hAnsi="Century Gothic" w:cs="Century Gothic" w:eastAsia="Century Gothic"/>
          <w:b/>
          <w:i w:val="0"/>
          <w:sz w:val="22"/>
        </w:rPr>
        <w:t>Punto 3.3.4, después del Cuadro 22</w:t>
      </w:r>
    </w:p>
    <w:p>
      <w:pPr>
        <w:spacing w:before="40" w:after="80" w:line="240" w:lineRule="auto"/>
        <w:jc w:val="center"/>
      </w:pPr>
      <w:r>
        <w:drawing>
          <wp:inline xmlns:a="http://schemas.openxmlformats.org/drawingml/2006/main" xmlns:pic="http://schemas.openxmlformats.org/drawingml/2006/picture">
            <wp:extent cx="5580000" cy="2729127"/>
            <wp:docPr id="1" name="Picture 1"/>
            <wp:cNvGraphicFramePr>
              <a:graphicFrameLocks noChangeAspect="1"/>
            </wp:cNvGraphicFramePr>
            <a:graphic>
              <a:graphicData uri="http://schemas.openxmlformats.org/drawingml/2006/picture">
                <pic:pic>
                  <pic:nvPicPr>
                    <pic:cNvPr id="0" name="grafico1.png"/>
                    <pic:cNvPicPr/>
                  </pic:nvPicPr>
                  <pic:blipFill>
                    <a:blip r:embed="rId11"/>
                    <a:stretch>
                      <a:fillRect/>
                    </a:stretch>
                  </pic:blipFill>
                  <pic:spPr>
                    <a:xfrm>
                      <a:off x="0" y="0"/>
                      <a:ext cx="5580000" cy="2729127"/>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Gráfico 1. Competencias necesarias para el ejercicio profesional frente a su aplicación en la formación. Fuente: elaboración propia con base en el Cuadro 22.</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3.3.5</w:t>
        <w:tab/>
      </w:r>
      <w:r>
        <w:rPr>
          <w:rFonts w:ascii="Century Gothic" w:hAnsi="Century Gothic" w:cs="Century Gothic" w:eastAsia="Century Gothic"/>
          <w:b/>
          <w:i w:val="0"/>
          <w:sz w:val="22"/>
        </w:rPr>
        <w:t>Metodología del estudio de mercado laboral</w:t>
      </w:r>
    </w:p>
    <w:p>
      <w:pPr>
        <w:spacing w:before="0" w:after="200" w:line="240" w:lineRule="auto"/>
        <w:jc w:val="both"/>
      </w:pPr>
      <w:r>
        <w:rPr>
          <w:rFonts w:ascii="Century Gothic" w:hAnsi="Century Gothic" w:cs="Century Gothic" w:eastAsia="Century Gothic"/>
          <w:b w:val="0"/>
          <w:i w:val="0"/>
          <w:sz w:val="20"/>
        </w:rPr>
        <w:t>En cumplimiento de los Artículos 5, 11 y 12 de la Resolución HCU N.º 032/2025, el estudio de mercado laboral del Rediseño Curricular adopta un diseño mixto y multifuente: combina fuentes primarias, levantadas con titulados, estudiantes y docentes de la Carrera, con fuentes secundarias sobre empresas, economía y tendencias de la profesión. Ninguna fuente se usa de forma aislada: cada hallazgo que fundamenta una decisión curricular se contrasta con al menos otra fuente, según el Cuadro 29.</w:t>
      </w:r>
    </w:p>
    <w:p>
      <w:pPr>
        <w:keepNext/>
        <w:spacing w:before="40" w:after="80" w:line="240" w:lineRule="auto"/>
        <w:jc w:val="center"/>
      </w:pPr>
      <w:r>
        <w:rPr>
          <w:rFonts w:ascii="Century Gothic" w:hAnsi="Century Gothic" w:cs="Century Gothic" w:eastAsia="Century Gothic"/>
          <w:b/>
          <w:i w:val="0"/>
          <w:sz w:val="20"/>
        </w:rPr>
        <w:t>Cuadro 24. Fuentes del estudio de mercado laboral</w:t>
      </w:r>
    </w:p>
    <w:tbl>
      <w:tblPr>
        <w:tblW w:type="auto" w:w="0"/>
        <w:jc w:val="center"/>
        <w:tblLayout w:type="fixed"/>
        <w:tblLook w:firstColumn="1" w:firstRow="1" w:lastColumn="0" w:lastRow="0" w:noHBand="0" w:noVBand="1" w:val="04A0"/>
      </w:tblPr>
      <w:tblGrid>
        <w:gridCol w:w="2948"/>
        <w:gridCol w:w="2154"/>
        <w:gridCol w:w="1984"/>
        <w:gridCol w:w="1984"/>
      </w:tblGrid>
      <w:tr>
        <w:trPr>
          <w:tblHeader/>
        </w:trPr>
        <w:tc>
          <w:tcPr>
            <w:tcW w:type="dxa" w:w="29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Fuente</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Tipo</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Periodo</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Uso en el Rediseño</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Ipsos CIESMORI, estudio cuantitativo a titulados de la Facultad</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Primaria, encuesta a titulados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Octubre y noviembre de 2025</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3.1.3, 3.3.3 y 3.3.4</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Encuesta de mercado laboral en Bolivia: Demanda 2022, del BID</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Secundaria, encuesta a empresas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Segundo semestre de 2022 a abril de 2023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3.3.2 y 3.3.4</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Diagnóstico FODA del IICCFA</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Primaria, consulta a estudiantes y docentes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Informe de diciembre de 2025</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3.3.1, 3.3.4, 4.1.2 y 4.3.1</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Registros académicos: Sistema de Registro Universitario, Sistema de Seguimiento Académico, DSIE y Centro de Cómputo</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Registros administrativos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2013 a 2026</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2.7.2, 3.3.6, 8.6 y 11.1.1</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FMI, Banco Mundial, INE y BCB</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Estadísticas económicas oficiales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2025 y 2026</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3.3.1</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Base empresarial del SEPREC</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Registro oficial de empresas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Marzo de 2022 a noviembre de 2025</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3.3.6</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Foro Económico Mundial, AICPA y CIMA, Wolters Kluwer</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Estudios internacionales de tendencias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2025</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3.4.1 y 3.3.6</w:t>
            </w:r>
          </w:p>
        </w:tc>
      </w:tr>
    </w:tbl>
    <w:p>
      <w:pPr>
        <w:spacing w:before="40" w:after="200" w:line="240" w:lineRule="auto"/>
        <w:jc w:val="left"/>
      </w:pPr>
      <w:r>
        <w:rPr>
          <w:rFonts w:ascii="Century Gothic" w:hAnsi="Century Gothic" w:cs="Century Gothic" w:eastAsia="Century Gothic"/>
          <w:b w:val="0"/>
          <w:i w:val="0"/>
          <w:sz w:val="16"/>
        </w:rPr>
        <w:t>Fuente: elaboración propia con base en los puntos 3.1 a 3.4.</w:t>
      </w:r>
    </w:p>
    <w:p>
      <w:pPr>
        <w:keepNext/>
        <w:spacing w:before="40" w:after="200" w:line="240" w:lineRule="auto"/>
        <w:jc w:val="left"/>
      </w:pPr>
      <w:r>
        <w:rPr>
          <w:rFonts w:ascii="Century Gothic" w:hAnsi="Century Gothic" w:cs="Century Gothic" w:eastAsia="Century Gothic"/>
          <w:b/>
          <w:i w:val="0"/>
          <w:sz w:val="22"/>
        </w:rPr>
        <w:t>Ficha técnica del estudio de Ipsos CIESMORI</w:t>
      </w:r>
    </w:p>
    <w:p>
      <w:pPr>
        <w:keepNext/>
        <w:spacing w:before="40" w:after="80" w:line="240" w:lineRule="auto"/>
        <w:jc w:val="center"/>
      </w:pPr>
      <w:r>
        <w:rPr>
          <w:rFonts w:ascii="Century Gothic" w:hAnsi="Century Gothic" w:cs="Century Gothic" w:eastAsia="Century Gothic"/>
          <w:b/>
          <w:i w:val="0"/>
          <w:sz w:val="20"/>
        </w:rPr>
        <w:t>Cuadro 25. Ficha técnica del estudio de Ipsos CIESMORI (2025)</w:t>
      </w:r>
    </w:p>
    <w:tbl>
      <w:tblPr>
        <w:tblW w:type="auto" w:w="0"/>
        <w:jc w:val="center"/>
        <w:tblLayout w:type="fixed"/>
        <w:tblLook w:firstColumn="1" w:firstRow="1" w:lastColumn="0" w:lastRow="0" w:noHBand="0" w:noVBand="1" w:val="04A0"/>
      </w:tblPr>
      <w:tblGrid>
        <w:gridCol w:w="2268"/>
        <w:gridCol w:w="6803"/>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Elemento</w:t>
            </w:r>
          </w:p>
        </w:tc>
        <w:tc>
          <w:tcPr>
            <w:tcW w:type="dxa" w:w="68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Descripción</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Título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«Futuro laboral: análisis de la demanda del mercado laboral y reformulación curricular». Estudio cuantitativo, Facultad de Ciencias Económicas y Financieras.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Ejecutor y fecha del informe</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Ipsos CIESMORI, diciembre de 2025.</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Objetivo general</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Determinar y describir el mercado laboral actual, con datos sobre las competencias específicas y generales requeridas y las tendencias del empleo, e identificar la percepción de los egresados sobre el mercado laboral, las necesidades de formación y los ajustes para la innovación curricular.</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Tipo de estudio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Cuantitativo.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Técnicas</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Encuestas cara a cara en puntos de intercepción ubicados en distintas zonas de cada ciudad.</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Encuestas telefónicas sobre la base de datos proporcionada por el cliente.</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Encuestas en línea autoaplicadas.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Universo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Profesionales graduados de la UMSA en los últimos 4 a 10 años, con al menos 2 a 5 años de experiencia laboral o actividad económica, en su área de estudio u otra, dispuestos a compartir sus experiencias sobre posibles mejoras en las mallas curriculares.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Ámbito geográfico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Área urbana de La Paz y El Alto, Cochabamba y Santa Cruz.</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Trabajo de campo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Del 28 de octubre al 20 de noviembre de 2025.</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Muestra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376 encuestas en la Facultad: Contaduría Pública 160, Administración de Empresas 128 y Economía 88.</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Composición de la muestra de Contaduría Pública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67 % mujeres y 33 % varones; 84 % de 20 a 30 años; residencia en La Paz 75 %, El Alto 23 %, Santa Cruz 1 % y otras ciudades 1 %; 96 % solteros al concluir el plan de estudios y 89 % en la actualidad, con 6 % casados.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Tipos de pregunta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Respuesta única y respuesta múltiple. Cada lámina indica la base de casos sobre la que se calculan los porcentajes.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Escalas</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Escala de 1 a 10 agrupada en cinco niveles: 1 y 2, para nada necesaria; 3 y 4, poco necesaria; 5 y 6, ni necesaria ni innecesaria; 7 y 8, muy necesaria; 9 y 10, totalmente necesaria.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Margen de error</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No declarado en el informe. El Cuadro 28 presenta un valor referencial.</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Uso en el Rediseño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Cuadros 10, 20 y 22 de los puntos 3.1.3, 3.3.3 y 3.3.4.</w:t>
            </w:r>
          </w:p>
        </w:tc>
      </w:tr>
    </w:tbl>
    <w:p>
      <w:pPr>
        <w:spacing w:before="40" w:after="200" w:line="240" w:lineRule="auto"/>
        <w:jc w:val="left"/>
      </w:pPr>
      <w:r>
        <w:rPr>
          <w:rFonts w:ascii="Century Gothic" w:hAnsi="Century Gothic" w:cs="Century Gothic" w:eastAsia="Century Gothic"/>
          <w:b w:val="0"/>
          <w:i w:val="0"/>
          <w:sz w:val="16"/>
        </w:rPr>
        <w:t>Fuente: Ipsos CIESMORI (2025), láminas 4 a 9, 15 y 16.</w:t>
      </w:r>
    </w:p>
    <w:p>
      <w:pPr>
        <w:keepNext/>
        <w:spacing w:before="40" w:after="200" w:line="240" w:lineRule="auto"/>
        <w:jc w:val="left"/>
      </w:pPr>
      <w:r>
        <w:rPr>
          <w:rFonts w:ascii="Century Gothic" w:hAnsi="Century Gothic" w:cs="Century Gothic" w:eastAsia="Century Gothic"/>
          <w:b/>
          <w:i w:val="0"/>
          <w:sz w:val="22"/>
        </w:rPr>
        <w:t>Ficha técnica de la Encuesta de demanda laboral del BID</w:t>
      </w:r>
    </w:p>
    <w:p>
      <w:pPr>
        <w:keepNext/>
        <w:spacing w:before="40" w:after="80" w:line="240" w:lineRule="auto"/>
        <w:jc w:val="center"/>
      </w:pPr>
      <w:r>
        <w:rPr>
          <w:rFonts w:ascii="Century Gothic" w:hAnsi="Century Gothic" w:cs="Century Gothic" w:eastAsia="Century Gothic"/>
          <w:b/>
          <w:i w:val="0"/>
          <w:sz w:val="20"/>
        </w:rPr>
        <w:t>Cuadro 26. Ficha técnica de la Encuesta de mercado laboral en Bolivia: Demanda 2022</w:t>
      </w:r>
    </w:p>
    <w:tbl>
      <w:tblPr>
        <w:tblW w:type="auto" w:w="0"/>
        <w:jc w:val="center"/>
        <w:tblLayout w:type="fixed"/>
        <w:tblLook w:firstColumn="1" w:firstRow="1" w:lastColumn="0" w:lastRow="0" w:noHBand="0" w:noVBand="1" w:val="04A0"/>
      </w:tblPr>
      <w:tblGrid>
        <w:gridCol w:w="2268"/>
        <w:gridCol w:w="6803"/>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Elemento</w:t>
            </w:r>
          </w:p>
        </w:tc>
        <w:tc>
          <w:tcPr>
            <w:tcW w:type="dxa" w:w="68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Descripción</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Publicación</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 xml:space="preserve">Urquidi, M., Serrate, L., Sardán, S., Albarracín, S. y Chumacero, M. (2023). </w:t>
            </w:r>
            <w:r>
              <w:rPr>
                <w:rFonts w:ascii="Century Gothic" w:hAnsi="Century Gothic" w:cs="Century Gothic" w:eastAsia="Century Gothic"/>
                <w:b w:val="0"/>
                <w:i/>
                <w:sz w:val="20"/>
              </w:rPr>
              <w:t>Encuesta de mercado laboral en Bolivia: Demanda 2022</w:t>
            </w:r>
            <w:r>
              <w:rPr>
                <w:rFonts w:ascii="Century Gothic" w:hAnsi="Century Gothic" w:cs="Century Gothic" w:eastAsia="Century Gothic"/>
                <w:b w:val="0"/>
                <w:i w:val="0"/>
                <w:sz w:val="20"/>
              </w:rPr>
              <w:t>. Nota técnica IDB-TN-2795. Banco Interamericano de Desarrollo.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Ejecución del trabajo de campo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Centro de Generación de Información y Estadística (CEGIE) de la Universidad Privada Boliviana.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Periodo de levantamiento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Segundo semestre de 2022 y primeros cuatro meses de 2023.</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Cobertura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Áreas metropolitanas de La Paz, Cochabamba y Santa Cruz.</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Unidades de observación</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Empresas pequeñas, medianas y grandes.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Objetivo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Caracterizar a las empresas, describir su fuerza laboral, incluidas las dinámicas de contratación y despido, y conocer los requisitos de habilidades y formación.</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Tamaño de la muestra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1.931 empresas, según el Diagnóstico de la Carrera 2026.</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Datos</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Base de datos agregada publicada por el BID con licencia CC BY 4.0.</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Uso en el Rediseño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Cuadro 19 del punto 3.3.2 y Cuadro 23 del punto 3.3.4.</w:t>
            </w:r>
          </w:p>
        </w:tc>
      </w:tr>
    </w:tbl>
    <w:p>
      <w:pPr>
        <w:spacing w:before="40" w:after="200" w:line="240" w:lineRule="auto"/>
        <w:jc w:val="left"/>
      </w:pPr>
      <w:r>
        <w:rPr>
          <w:rFonts w:ascii="Century Gothic" w:hAnsi="Century Gothic" w:cs="Century Gothic" w:eastAsia="Century Gothic"/>
          <w:b w:val="0"/>
          <w:i w:val="0"/>
          <w:sz w:val="16"/>
        </w:rPr>
        <w:t>Fuente: Banco Interamericano de Desarrollo, ficha del conjunto de datos y nota técnica IDB-TN-2795; Diagnóstico de la Carrera 2026.</w:t>
      </w:r>
    </w:p>
    <w:p>
      <w:pPr>
        <w:keepNext/>
        <w:spacing w:before="40" w:after="200" w:line="240" w:lineRule="auto"/>
        <w:jc w:val="left"/>
      </w:pPr>
      <w:r>
        <w:rPr>
          <w:rFonts w:ascii="Century Gothic" w:hAnsi="Century Gothic" w:cs="Century Gothic" w:eastAsia="Century Gothic"/>
          <w:b/>
          <w:i w:val="0"/>
          <w:sz w:val="22"/>
        </w:rPr>
        <w:t>Ficha técnica del diagnóstico FODA del Instituto de Investigaciones</w:t>
      </w:r>
    </w:p>
    <w:p>
      <w:pPr>
        <w:keepNext/>
        <w:spacing w:before="40" w:after="80" w:line="240" w:lineRule="auto"/>
        <w:jc w:val="center"/>
      </w:pPr>
      <w:r>
        <w:rPr>
          <w:rFonts w:ascii="Century Gothic" w:hAnsi="Century Gothic" w:cs="Century Gothic" w:eastAsia="Century Gothic"/>
          <w:b/>
          <w:i w:val="0"/>
          <w:sz w:val="20"/>
        </w:rPr>
        <w:t>Cuadro 27. Ficha técnica del diagnóstico FODA del IICCFA (2025)</w:t>
      </w:r>
    </w:p>
    <w:tbl>
      <w:tblPr>
        <w:tblW w:type="auto" w:w="0"/>
        <w:jc w:val="center"/>
        <w:tblLayout w:type="fixed"/>
        <w:tblLook w:firstColumn="1" w:firstRow="1" w:lastColumn="0" w:lastRow="0" w:noHBand="0" w:noVBand="1" w:val="04A0"/>
      </w:tblPr>
      <w:tblGrid>
        <w:gridCol w:w="2268"/>
        <w:gridCol w:w="6803"/>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Elemento</w:t>
            </w:r>
          </w:p>
        </w:tc>
        <w:tc>
          <w:tcPr>
            <w:tcW w:type="dxa" w:w="68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Descripción</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Responsable</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Instituto de Investigaciones de Ciencias Contables, Financieras y Auditoría de la Carrera.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Fecha del informe</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Diciembre de 2025.</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Técnica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Consulta de percepción organizada según la matriz de fortalezas, oportunidades, debilidades y amenazas, con resultados expresados en porcentaje de participantes.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Participantes</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278 estudiantes y 59 docentes.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Población de referencia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3.143 estudiantes inscritos en la gestión 2025 en la sede de La Paz (Cuadro 1 del punto 11.1.1) y 183 docentes (Cuadro 4 del punto 2.7.1).</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Uso en el Rediseño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Puntos 3.3.1, 3.3.4, 4.1.2 y 4.3.1.</w:t>
            </w:r>
          </w:p>
        </w:tc>
      </w:tr>
    </w:tbl>
    <w:p>
      <w:pPr>
        <w:spacing w:before="40" w:after="200" w:line="240" w:lineRule="auto"/>
        <w:jc w:val="left"/>
      </w:pPr>
      <w:r>
        <w:rPr>
          <w:rFonts w:ascii="Century Gothic" w:hAnsi="Century Gothic" w:cs="Century Gothic" w:eastAsia="Century Gothic"/>
          <w:b w:val="0"/>
          <w:i w:val="0"/>
          <w:sz w:val="16"/>
        </w:rPr>
        <w:t>Fuente: Diagnóstico de la Carrera 2026, con base en el informe del IICCFA de diciembre de 2025.</w:t>
      </w:r>
    </w:p>
    <w:p>
      <w:pPr>
        <w:keepNext/>
        <w:spacing w:before="40" w:after="200" w:line="240" w:lineRule="auto"/>
        <w:jc w:val="left"/>
      </w:pPr>
      <w:r>
        <w:rPr>
          <w:rFonts w:ascii="Century Gothic" w:hAnsi="Century Gothic" w:cs="Century Gothic" w:eastAsia="Century Gothic"/>
          <w:b/>
          <w:i w:val="0"/>
          <w:sz w:val="22"/>
        </w:rPr>
        <w:t>Tratamiento de los datos</w:t>
      </w:r>
    </w:p>
    <w:p>
      <w:pPr>
        <w:numPr>
          <w:ilvl w:val="0"/>
          <w:numId w:val="901"/>
        </w:numPr>
        <w:spacing w:before="0" w:after="160" w:line="240" w:lineRule="auto"/>
        <w:jc w:val="both"/>
      </w:pPr>
      <w:r>
        <w:rPr>
          <w:rFonts w:ascii="Century Gothic" w:hAnsi="Century Gothic" w:cs="Century Gothic" w:eastAsia="Century Gothic"/>
          <w:b/>
          <w:i w:val="0"/>
          <w:sz w:val="20"/>
        </w:rPr>
        <w:t>Agrupación de escalas.</w:t>
      </w:r>
      <w:r>
        <w:rPr>
          <w:rFonts w:ascii="Century Gothic" w:hAnsi="Century Gothic" w:cs="Century Gothic" w:eastAsia="Century Gothic"/>
          <w:b w:val="0"/>
          <w:i w:val="0"/>
          <w:sz w:val="20"/>
        </w:rPr>
        <w:t xml:space="preserve"> En el estudio de Ipsos CIESMORI, una competencia se considera «necesaria» cuando recibe las calificaciones de 7 a 10, es decir, muy y totalmente necesaria, y «aplicada con frecuencia» cuando se aplicó todo el tiempo o buena parte del tiempo durante la formación.</w:t>
      </w:r>
    </w:p>
    <w:p>
      <w:pPr>
        <w:numPr>
          <w:ilvl w:val="0"/>
          <w:numId w:val="901"/>
        </w:numPr>
        <w:spacing w:before="0" w:after="160" w:line="240" w:lineRule="auto"/>
        <w:jc w:val="both"/>
      </w:pPr>
      <w:r>
        <w:rPr>
          <w:rFonts w:ascii="Century Gothic" w:hAnsi="Century Gothic" w:cs="Century Gothic" w:eastAsia="Century Gothic"/>
          <w:b/>
          <w:i w:val="0"/>
          <w:sz w:val="20"/>
        </w:rPr>
        <w:t>Cálculo de brechas.</w:t>
      </w:r>
      <w:r>
        <w:rPr>
          <w:rFonts w:ascii="Century Gothic" w:hAnsi="Century Gothic" w:cs="Century Gothic" w:eastAsia="Century Gothic"/>
          <w:b w:val="0"/>
          <w:i w:val="0"/>
          <w:sz w:val="20"/>
        </w:rPr>
        <w:t xml:space="preserve"> La brecha de una competencia es la diferencia, en puntos porcentuales, entre el porcentaje que la considera necesaria y el porcentaje que la aplicó con frecuencia en su formación (Cuadro 22).</w:t>
      </w:r>
    </w:p>
    <w:p>
      <w:pPr>
        <w:numPr>
          <w:ilvl w:val="0"/>
          <w:numId w:val="901"/>
        </w:numPr>
        <w:spacing w:before="0" w:after="160" w:line="240" w:lineRule="auto"/>
        <w:jc w:val="both"/>
      </w:pPr>
      <w:r>
        <w:rPr>
          <w:rFonts w:ascii="Century Gothic" w:hAnsi="Century Gothic" w:cs="Century Gothic" w:eastAsia="Century Gothic"/>
          <w:b/>
          <w:i w:val="0"/>
          <w:sz w:val="20"/>
        </w:rPr>
        <w:t>Bases de cálculo.</w:t>
      </w:r>
      <w:r>
        <w:rPr>
          <w:rFonts w:ascii="Century Gothic" w:hAnsi="Century Gothic" w:cs="Century Gothic" w:eastAsia="Century Gothic"/>
          <w:b w:val="0"/>
          <w:i w:val="0"/>
          <w:sz w:val="20"/>
        </w:rPr>
        <w:t xml:space="preserve"> Los porcentajes se calculan sobre la base de casos de cada pregunta, que el informe indica en cada lámina; en las preguntas de respuesta múltiple la suma supera el 100 %.</w:t>
      </w:r>
    </w:p>
    <w:p>
      <w:pPr>
        <w:numPr>
          <w:ilvl w:val="0"/>
          <w:numId w:val="901"/>
        </w:numPr>
        <w:spacing w:before="0" w:after="200" w:line="240" w:lineRule="auto"/>
        <w:jc w:val="both"/>
      </w:pPr>
      <w:r>
        <w:rPr>
          <w:rFonts w:ascii="Century Gothic" w:hAnsi="Century Gothic" w:cs="Century Gothic" w:eastAsia="Century Gothic"/>
          <w:b/>
          <w:i w:val="0"/>
          <w:sz w:val="20"/>
        </w:rPr>
        <w:t>Contraste de fuentes.</w:t>
      </w:r>
      <w:r>
        <w:rPr>
          <w:rFonts w:ascii="Century Gothic" w:hAnsi="Century Gothic" w:cs="Century Gothic" w:eastAsia="Century Gothic"/>
          <w:b w:val="0"/>
          <w:i w:val="0"/>
          <w:sz w:val="20"/>
        </w:rPr>
        <w:t xml:space="preserve"> Cada hallazgo se contrasta con al menos otra fuente independiente antes de traducirse en una decisión curricular (Cuadro 29).</w:t>
      </w:r>
    </w:p>
    <w:p>
      <w:pPr>
        <w:keepNext/>
        <w:spacing w:before="40" w:after="200" w:line="240" w:lineRule="auto"/>
        <w:jc w:val="left"/>
      </w:pPr>
      <w:r>
        <w:rPr>
          <w:rFonts w:ascii="Century Gothic" w:hAnsi="Century Gothic" w:cs="Century Gothic" w:eastAsia="Century Gothic"/>
          <w:b/>
          <w:i w:val="0"/>
          <w:sz w:val="22"/>
        </w:rPr>
        <w:t>Precisión de las muestras</w:t>
      </w:r>
    </w:p>
    <w:p>
      <w:pPr>
        <w:spacing w:before="0" w:after="200" w:line="240" w:lineRule="auto"/>
        <w:jc w:val="both"/>
      </w:pPr>
      <w:r>
        <w:rPr>
          <w:rFonts w:ascii="Century Gothic" w:hAnsi="Century Gothic" w:cs="Century Gothic" w:eastAsia="Century Gothic"/>
          <w:b w:val="0"/>
          <w:i w:val="0"/>
          <w:sz w:val="20"/>
        </w:rPr>
        <w:t>Los informes de Ipsos CIESMORI y del IICCFA no declaran un margen de error. Como referencia de precisión, el Cuadro 28 calcula el error que tendría una muestra aleatoria simple del mismo tamaño, con un nivel de confianza del 95 % y la máxima variabilidad (p = 0,5), mediante la fórmula e = 1,96 · √(p(1 − p)/n) · √((N − n)/(N − 1)). Cuando el informe no cuantifica la población (N), se omite el segundo factor.</w:t>
      </w:r>
    </w:p>
    <w:p>
      <w:pPr>
        <w:keepNext/>
        <w:spacing w:before="40" w:after="80" w:line="240" w:lineRule="auto"/>
        <w:jc w:val="center"/>
      </w:pPr>
      <w:r>
        <w:rPr>
          <w:rFonts w:ascii="Century Gothic" w:hAnsi="Century Gothic" w:cs="Century Gothic" w:eastAsia="Century Gothic"/>
          <w:b/>
          <w:i w:val="0"/>
          <w:sz w:val="20"/>
        </w:rPr>
        <w:t>Cuadro 28. Error muestral referencial de las consultas</w:t>
      </w:r>
    </w:p>
    <w:tbl>
      <w:tblPr>
        <w:tblW w:type="auto" w:w="0"/>
        <w:jc w:val="center"/>
        <w:tblLayout w:type="fixed"/>
        <w:tblLook w:firstColumn="1" w:firstRow="1" w:lastColumn="0" w:lastRow="0" w:noHBand="0" w:noVBand="1" w:val="04A0"/>
      </w:tblPr>
      <w:tblGrid>
        <w:gridCol w:w="3118"/>
        <w:gridCol w:w="1417"/>
        <w:gridCol w:w="2551"/>
        <w:gridCol w:w="1984"/>
      </w:tblGrid>
      <w:tr>
        <w:trPr>
          <w:tblHeader/>
        </w:trPr>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Consulta</w:t>
            </w:r>
          </w:p>
        </w:tc>
        <w:tc>
          <w:tcPr>
            <w:tcW w:type="dxa" w:w="14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Muestra (n)</w:t>
            </w:r>
          </w:p>
        </w:tc>
        <w:tc>
          <w:tcPr>
            <w:tcW w:type="dxa" w:w="25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Población de referencia (N)</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Error referencial al 95 %</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Ipsos CIESMORI, Contaduría Pública</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160</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No cuantificada en el informe</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 7,7 puntos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Ipsos CIESMORI, Facultad</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376</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No cuantificada en el informe</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 5,1 puntos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FODA del IICCFA, estudiantes</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278</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3.143 inscritos en 2025</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 5,6 puntos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FODA del IICCFA, docentes</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59</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183 docentes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 10,5 puntos</w:t>
            </w:r>
          </w:p>
        </w:tc>
      </w:tr>
    </w:tbl>
    <w:p>
      <w:pPr>
        <w:spacing w:before="40" w:after="200" w:line="240" w:lineRule="auto"/>
        <w:jc w:val="left"/>
      </w:pPr>
      <w:r>
        <w:rPr>
          <w:rFonts w:ascii="Century Gothic" w:hAnsi="Century Gothic" w:cs="Century Gothic" w:eastAsia="Century Gothic"/>
          <w:b w:val="0"/>
          <w:i w:val="0"/>
          <w:sz w:val="16"/>
        </w:rPr>
        <w:t>Fuente: elaboración propia con base en los Cuadros 25 y 27.</w:t>
      </w:r>
    </w:p>
    <w:p>
      <w:pPr>
        <w:spacing w:before="0" w:after="200" w:line="240" w:lineRule="auto"/>
        <w:jc w:val="both"/>
      </w:pPr>
      <w:r>
        <w:rPr>
          <w:rFonts w:ascii="Century Gothic" w:hAnsi="Century Gothic" w:cs="Century Gothic" w:eastAsia="Century Gothic"/>
          <w:b w:val="0"/>
          <w:i w:val="0"/>
          <w:sz w:val="20"/>
        </w:rPr>
        <w:t>Las técnicas de Ipsos CIESMORI, que combinan intercepción, base de datos y encuesta en línea, no corresponden a un muestreo aleatorio. Por ello estos valores indican el orden de precisión de los resultados y no un margen de error en sentido estricto.</w:t>
      </w:r>
    </w:p>
    <w:p>
      <w:pPr>
        <w:keepNext/>
        <w:spacing w:before="40" w:after="200" w:line="240" w:lineRule="auto"/>
        <w:jc w:val="left"/>
      </w:pPr>
      <w:r>
        <w:rPr>
          <w:rFonts w:ascii="Century Gothic" w:hAnsi="Century Gothic" w:cs="Century Gothic" w:eastAsia="Century Gothic"/>
          <w:b/>
          <w:i w:val="0"/>
          <w:sz w:val="22"/>
        </w:rPr>
        <w:t>Triangulación de hallazgos</w:t>
      </w:r>
    </w:p>
    <w:p>
      <w:pPr>
        <w:keepNext/>
        <w:spacing w:before="40" w:after="80" w:line="240" w:lineRule="auto"/>
        <w:jc w:val="center"/>
      </w:pPr>
      <w:r>
        <w:rPr>
          <w:rFonts w:ascii="Century Gothic" w:hAnsi="Century Gothic" w:cs="Century Gothic" w:eastAsia="Century Gothic"/>
          <w:b/>
          <w:i w:val="0"/>
          <w:sz w:val="20"/>
        </w:rPr>
        <w:t>Cuadro 29. Matriz de triangulación de los hallazgos del mercado laboral</w:t>
      </w:r>
    </w:p>
    <w:tbl>
      <w:tblPr>
        <w:tblW w:type="auto" w:w="0"/>
        <w:jc w:val="center"/>
        <w:tblLayout w:type="fixed"/>
        <w:tblLook w:firstColumn="1" w:firstRow="1" w:lastColumn="0" w:lastRow="0" w:noHBand="0" w:noVBand="1" w:val="04A0"/>
      </w:tblPr>
      <w:tblGrid>
        <w:gridCol w:w="2154"/>
        <w:gridCol w:w="4649"/>
        <w:gridCol w:w="2268"/>
      </w:tblGrid>
      <w:tr>
        <w:trPr>
          <w:tblHeader/>
        </w:trPr>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Hallazgo</w:t>
            </w:r>
          </w:p>
        </w:tc>
        <w:tc>
          <w:tcPr>
            <w:tcW w:type="dxa" w:w="464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Evidencia por fuente</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Decisión curricular</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Brecha en competencias tecnológicas</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Ipsos: las habilidades tecnológicas emergentes son necesarias para el 87 % y se aplicaron con frecuencia en la formación para el 36 %; el 75 % considera que deben enseñarse software contable y tributario, ERP y herramientas de análisis de datos.</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BID: el 97 % de las empresas opera con internet y el déficit en herramientas digitales es una barrera de contratación del 13 %, según el Diagnóstico 2026.</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FODA: el 89 % de los estudiantes y el 83 % de los docentes ve como amenaza la demanda de habilidades tecnológicas e idiomas.</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WEF (2025): inteligencia artificial y big data es la competencia de mayor crecimiento.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Eje tecnológico transversal con laboratorio (3.3.4 y 4.4.1)</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Falta de experiencia práctica</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BID: es la segunda barrera de contratación, con el 25 %, y solo el 30 % de las empresas de ciudades grandes tiene programas de pasantías.</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FODA: el 88 % de los estudiantes respalda pasantías obligatorias desde tercer año.</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Ipsos: en la Facultad, una proporción mayoritaria de egresados reporta oportunidades insuficientes de aplicación práctica del conocimiento.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Prácticas preprofesionales y proyectos con organizaciones reales (4.8)</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Déficit en habilidades de conducción</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BID: la falta de habilidades blandas es la principal barrera de contratación, con el 26 %.</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Ipsos: brechas de 39 puntos en liderazgo, 40 en empatía y 37 en resolución de conflictos.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Transversalidad de comunicación, liderazgo y ética (3.1.3 y 4.4.1)</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Saturación del perfil tradicional y techo jerárquico</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Ipsos: el 63 % de quienes trabajan ejerce la carrera, frente al 57 % en Administración de Empresas y el 49 % en Economía, y el 14 % está desempleado; el 46 % percibe el mercado saturado y el 50 % lo prevé saturado en cinco años; el 77 % de los dependientes trabaja en nivel técnico operativo y el 87 % gana hasta Bs 5.000.</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INE: informalidad laboral del 84,2 %.</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WEF (2025): los puestos de contabilidad, teneduría, nómina y auditoría están entre los de mayor declive proyectado.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Liderazgo, gestión, consultoría y servicios de mayor valor; preparación para el ejercicio independiente (3.3.4)</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Presión económica sobre la permanencia y la titulación</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FODA: el 85 % de los estudiantes reconoce que la coyuntura presiona para abandonar o retrasar la carrera.</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Registros: 1.589 estudiantes trabajan de forma remunerada y 396 tienen de siete a nueve años de permanencia.</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Ipsos: el 21 % de los egresados aún no tiene título.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Modalidades de graduación integradas al último año (5.4) y organización compatible con el estudiante que trabaja</w:t>
            </w:r>
          </w:p>
        </w:tc>
      </w:tr>
    </w:tbl>
    <w:p>
      <w:pPr>
        <w:spacing w:before="40" w:after="200" w:line="240" w:lineRule="auto"/>
        <w:jc w:val="left"/>
      </w:pPr>
      <w:r>
        <w:rPr>
          <w:rFonts w:ascii="Century Gothic" w:hAnsi="Century Gothic" w:cs="Century Gothic" w:eastAsia="Century Gothic"/>
          <w:b w:val="0"/>
          <w:i w:val="0"/>
          <w:sz w:val="16"/>
        </w:rPr>
        <w:t>Fuente: elaboración propia con base en los Cuadros 18 a 24, Ipsos CIESMORI (2025) y el Diagnóstico de la Carrera 2026.</w:t>
      </w:r>
    </w:p>
    <w:p>
      <w:pPr>
        <w:spacing w:before="40" w:after="80" w:line="240" w:lineRule="auto"/>
        <w:jc w:val="center"/>
      </w:pPr>
      <w:r>
        <w:drawing>
          <wp:inline xmlns:a="http://schemas.openxmlformats.org/drawingml/2006/main" xmlns:pic="http://schemas.openxmlformats.org/drawingml/2006/picture">
            <wp:extent cx="5580000" cy="3419018"/>
            <wp:docPr id="2" name="Picture 2"/>
            <wp:cNvGraphicFramePr>
              <a:graphicFrameLocks noChangeAspect="1"/>
            </wp:cNvGraphicFramePr>
            <a:graphic>
              <a:graphicData uri="http://schemas.openxmlformats.org/drawingml/2006/picture">
                <pic:pic>
                  <pic:nvPicPr>
                    <pic:cNvPr id="0" name="grafico2.png"/>
                    <pic:cNvPicPr/>
                  </pic:nvPicPr>
                  <pic:blipFill>
                    <a:blip r:embed="rId12"/>
                    <a:stretch>
                      <a:fillRect/>
                    </a:stretch>
                  </pic:blipFill>
                  <pic:spPr>
                    <a:xfrm>
                      <a:off x="0" y="0"/>
                      <a:ext cx="5580000" cy="3419018"/>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Gráfico 2. Triangulación de las fuentes del estudio de mercado laboral. Fuente: elaboración propia con base en los Cuadros 24 y 29.</w:t>
      </w:r>
    </w:p>
    <w:p>
      <w:pPr>
        <w:keepNext/>
        <w:spacing w:before="40" w:after="200" w:line="240" w:lineRule="auto"/>
        <w:jc w:val="left"/>
      </w:pPr>
      <w:r>
        <w:rPr>
          <w:rFonts w:ascii="Century Gothic" w:hAnsi="Century Gothic" w:cs="Century Gothic" w:eastAsia="Century Gothic"/>
          <w:b/>
          <w:i w:val="0"/>
          <w:sz w:val="22"/>
        </w:rPr>
        <w:t>Limitaciones del estudio</w:t>
      </w:r>
    </w:p>
    <w:p>
      <w:pPr>
        <w:numPr>
          <w:ilvl w:val="0"/>
          <w:numId w:val="902"/>
        </w:numPr>
        <w:spacing w:before="0" w:after="160" w:line="240" w:lineRule="auto"/>
        <w:jc w:val="both"/>
      </w:pPr>
      <w:r>
        <w:rPr>
          <w:rFonts w:ascii="Century Gothic" w:hAnsi="Century Gothic" w:cs="Century Gothic" w:eastAsia="Century Gothic"/>
          <w:b w:val="0"/>
          <w:i w:val="0"/>
          <w:sz w:val="20"/>
        </w:rPr>
        <w:t>El estudio de Ipsos CIESMORI no usa un muestreo aleatorio y se limita a titulados de 4 a 10 años de egreso residentes en el área urbana; en Contaduría Pública, el 98 % de la muestra reside en La Paz y El Alto, por lo que no recoge la situación de los titulados recientes ni la de otras regiones.</w:t>
      </w:r>
    </w:p>
    <w:p>
      <w:pPr>
        <w:numPr>
          <w:ilvl w:val="0"/>
          <w:numId w:val="902"/>
        </w:numPr>
        <w:spacing w:before="0" w:after="160" w:line="240" w:lineRule="auto"/>
        <w:jc w:val="both"/>
      </w:pPr>
      <w:r>
        <w:rPr>
          <w:rFonts w:ascii="Century Gothic" w:hAnsi="Century Gothic" w:cs="Century Gothic" w:eastAsia="Century Gothic"/>
          <w:b w:val="0"/>
          <w:i w:val="0"/>
          <w:sz w:val="20"/>
        </w:rPr>
        <w:t>La Encuesta del BID cubre empresas de todas las ramas y no desagrega la demanda de contadores públicos; se usa para caracterizar las exigencias generales de los empleadores.</w:t>
      </w:r>
    </w:p>
    <w:p>
      <w:pPr>
        <w:numPr>
          <w:ilvl w:val="0"/>
          <w:numId w:val="902"/>
        </w:numPr>
        <w:spacing w:before="0" w:after="160" w:line="240" w:lineRule="auto"/>
        <w:jc w:val="both"/>
      </w:pPr>
      <w:r>
        <w:rPr>
          <w:rFonts w:ascii="Century Gothic" w:hAnsi="Century Gothic" w:cs="Century Gothic" w:eastAsia="Century Gothic"/>
          <w:b w:val="0"/>
          <w:i w:val="0"/>
          <w:sz w:val="20"/>
        </w:rPr>
        <w:t>El diagnóstico FODA recoge percepciones de la comunidad académica y no mide el desempeño laboral.</w:t>
      </w:r>
    </w:p>
    <w:p>
      <w:pPr>
        <w:numPr>
          <w:ilvl w:val="0"/>
          <w:numId w:val="902"/>
        </w:numPr>
        <w:spacing w:before="0" w:after="160" w:line="240" w:lineRule="auto"/>
        <w:jc w:val="both"/>
      </w:pPr>
      <w:r>
        <w:rPr>
          <w:rFonts w:ascii="Century Gothic" w:hAnsi="Century Gothic" w:cs="Century Gothic" w:eastAsia="Century Gothic"/>
          <w:b w:val="0"/>
          <w:i w:val="0"/>
          <w:sz w:val="20"/>
        </w:rPr>
        <w:t>El informe cuantitativo de Ipsos CIESMORI menciona una fase cualitativa con empleadores, expertos en talento humano y expertos en educación, cuyo informe no forma parte de la base documental de la Comisión Académica.</w:t>
      </w:r>
    </w:p>
    <w:p>
      <w:pPr>
        <w:numPr>
          <w:ilvl w:val="0"/>
          <w:numId w:val="902"/>
        </w:numPr>
        <w:spacing w:before="0" w:after="200" w:line="240" w:lineRule="auto"/>
        <w:jc w:val="both"/>
      </w:pPr>
      <w:r>
        <w:rPr>
          <w:rFonts w:ascii="Century Gothic" w:hAnsi="Century Gothic" w:cs="Century Gothic" w:eastAsia="Century Gothic"/>
          <w:b w:val="0"/>
          <w:i w:val="0"/>
          <w:sz w:val="20"/>
        </w:rPr>
        <w:t>Para compensar estas limitaciones, los hallazgos se triangulan (Cuadro 29) y el punto 12.2 incorpora la consulta periódica a empleadores y el seguimiento a titulados con ficha técnica y error declarados.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3.3.6</w:t>
        <w:tab/>
      </w:r>
      <w:r>
        <w:rPr>
          <w:rFonts w:ascii="Century Gothic" w:hAnsi="Century Gothic" w:cs="Century Gothic" w:eastAsia="Century Gothic"/>
          <w:b/>
          <w:i w:val="0"/>
          <w:sz w:val="22"/>
        </w:rPr>
        <w:t>Proyecciones de demanda</w:t>
      </w:r>
    </w:p>
    <w:p>
      <w:pPr>
        <w:spacing w:before="0" w:after="200" w:line="240" w:lineRule="auto"/>
        <w:jc w:val="both"/>
      </w:pPr>
      <w:r>
        <w:rPr>
          <w:rFonts w:ascii="Century Gothic" w:hAnsi="Century Gothic" w:cs="Century Gothic" w:eastAsia="Century Gothic"/>
          <w:b w:val="0"/>
          <w:i w:val="0"/>
          <w:sz w:val="20"/>
        </w:rPr>
        <w:t>Las proyecciones estiman, para el periodo de implementación 2027 a 2031, la demanda académica, que determina los paralelos, la bibliografía y la infraestructura requeridos conforme al Artículo 12 de la Resolución HCU N.º 032/2025, y la tendencia de la demanda laboral a la que responde el perfil profesional.</w:t>
      </w:r>
    </w:p>
    <w:p>
      <w:pPr>
        <w:keepNext/>
        <w:spacing w:before="40" w:after="200" w:line="240" w:lineRule="auto"/>
        <w:jc w:val="left"/>
      </w:pPr>
      <w:r>
        <w:rPr>
          <w:rFonts w:ascii="Century Gothic" w:hAnsi="Century Gothic" w:cs="Century Gothic" w:eastAsia="Century Gothic"/>
          <w:b/>
          <w:i w:val="0"/>
          <w:sz w:val="22"/>
        </w:rPr>
        <w:t>Demanda académica</w:t>
      </w:r>
    </w:p>
    <w:p>
      <w:pPr>
        <w:spacing w:before="0" w:after="200" w:line="240" w:lineRule="auto"/>
        <w:jc w:val="both"/>
      </w:pPr>
      <w:r>
        <w:rPr>
          <w:rFonts w:ascii="Century Gothic" w:hAnsi="Century Gothic" w:cs="Century Gothic" w:eastAsia="Century Gothic"/>
          <w:b w:val="0"/>
          <w:i w:val="0"/>
          <w:sz w:val="20"/>
        </w:rPr>
        <w:t>Según la DSIE, citada en el Diagnóstico de la Carrera 2026, la matrícula alcanzó su máximo en 2013, con 6.057 estudiantes; frente a los 4.447 de 2023 la reducción es del 26,6 %, y frente a los 4.296 de 2026, del 29,1 %.</w:t>
      </w:r>
    </w:p>
    <w:p>
      <w:pPr>
        <w:spacing w:before="0" w:after="200" w:line="240" w:lineRule="auto"/>
        <w:jc w:val="both"/>
      </w:pPr>
      <w:r>
        <w:rPr>
          <w:rFonts w:ascii="Century Gothic" w:hAnsi="Century Gothic" w:cs="Century Gothic" w:eastAsia="Century Gothic"/>
          <w:b w:val="0"/>
          <w:i w:val="0"/>
          <w:sz w:val="20"/>
        </w:rPr>
        <w:t>Para el periodo de implementación se aplican dos métodos sobre la serie de 2021 a 2026 del Cuadro 1 del punto 11.1.1: la tendencia lineal por mínimos cuadrados y la tasa de crecimiento anual compuesta entre 2021 y 2026, que es de -1,80 % para los matriculados y de -0,23 % para los inscritos. El resultado de ambos métodos define el rango de la proyección.</w:t>
      </w:r>
    </w:p>
    <w:p>
      <w:pPr>
        <w:keepNext/>
        <w:spacing w:before="40" w:after="80" w:line="240" w:lineRule="auto"/>
        <w:jc w:val="center"/>
      </w:pPr>
      <w:r>
        <w:rPr>
          <w:rFonts w:ascii="Century Gothic" w:hAnsi="Century Gothic" w:cs="Century Gothic" w:eastAsia="Century Gothic"/>
          <w:b/>
          <w:i w:val="0"/>
          <w:sz w:val="20"/>
        </w:rPr>
        <w:t>Cuadro 30. Proyección de estudiantes matriculados e inscritos, 2027–2031</w:t>
      </w:r>
    </w:p>
    <w:tbl>
      <w:tblPr>
        <w:tblW w:type="auto" w:w="0"/>
        <w:jc w:val="center"/>
        <w:tblLayout w:type="fixed"/>
        <w:tblLook w:firstColumn="1" w:firstRow="1" w:lastColumn="0" w:lastRow="0" w:noHBand="0" w:noVBand="1" w:val="04A0"/>
      </w:tblPr>
      <w:tblGrid>
        <w:gridCol w:w="2608"/>
        <w:gridCol w:w="1077"/>
        <w:gridCol w:w="1077"/>
        <w:gridCol w:w="1077"/>
        <w:gridCol w:w="1077"/>
        <w:gridCol w:w="1077"/>
        <w:gridCol w:w="1077"/>
      </w:tblGrid>
      <w:tr>
        <w:trPr>
          <w:tblHeader/>
        </w:trPr>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Estudiantes y método</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2026 (dato)</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2027</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2028</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2029</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2030</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2031</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Matriculados, tendencia lineal</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4.296</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4.149</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4.065</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3.982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3.899</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3.815</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Matriculados, tasa anual compuesta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4.296</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4.219</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4.143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4.068</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3.995</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3.923</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Inscritos, tendencia lineal</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3.116</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3.125</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3.112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3.098</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3.085</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3.071</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Inscritos, tasa anual compuesta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3.116</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3.109</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3.102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3.095</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3.087</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3.080</w:t>
            </w:r>
          </w:p>
        </w:tc>
      </w:tr>
    </w:tbl>
    <w:p>
      <w:pPr>
        <w:spacing w:before="40" w:after="200" w:line="240" w:lineRule="auto"/>
        <w:jc w:val="left"/>
      </w:pPr>
      <w:r>
        <w:rPr>
          <w:rFonts w:ascii="Century Gothic" w:hAnsi="Century Gothic" w:cs="Century Gothic" w:eastAsia="Century Gothic"/>
          <w:b w:val="0"/>
          <w:i w:val="0"/>
          <w:sz w:val="16"/>
        </w:rPr>
        <w:t>Fuente: elaboración propia con base en el Sistema de Registro Universitario y el Sistema de Seguimiento Académico, Diagnóstico 2026. Corresponde a la sede de La Paz.</w:t>
      </w:r>
    </w:p>
    <w:p>
      <w:pPr>
        <w:spacing w:before="40" w:after="80" w:line="240" w:lineRule="auto"/>
        <w:jc w:val="center"/>
      </w:pPr>
      <w:r>
        <w:drawing>
          <wp:inline xmlns:a="http://schemas.openxmlformats.org/drawingml/2006/main" xmlns:pic="http://schemas.openxmlformats.org/drawingml/2006/picture">
            <wp:extent cx="5580000" cy="2536364"/>
            <wp:docPr id="3" name="Picture 3"/>
            <wp:cNvGraphicFramePr>
              <a:graphicFrameLocks noChangeAspect="1"/>
            </wp:cNvGraphicFramePr>
            <a:graphic>
              <a:graphicData uri="http://schemas.openxmlformats.org/drawingml/2006/picture">
                <pic:pic>
                  <pic:nvPicPr>
                    <pic:cNvPr id="0" name="grafico4.png"/>
                    <pic:cNvPicPr/>
                  </pic:nvPicPr>
                  <pic:blipFill>
                    <a:blip r:embed="rId13"/>
                    <a:stretch>
                      <a:fillRect/>
                    </a:stretch>
                  </pic:blipFill>
                  <pic:spPr>
                    <a:xfrm>
                      <a:off x="0" y="0"/>
                      <a:ext cx="5580000" cy="2536364"/>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Gráfico 3. Estudiantes matriculados e inscritos, 2021–2031. Fuente: elaboración propia con base en el Cuadro 30.</w:t>
      </w:r>
    </w:p>
    <w:p>
      <w:pPr>
        <w:spacing w:before="0" w:after="200" w:line="240" w:lineRule="auto"/>
        <w:jc w:val="both"/>
      </w:pPr>
      <w:r>
        <w:rPr>
          <w:rFonts w:ascii="Century Gothic" w:hAnsi="Century Gothic" w:cs="Century Gothic" w:eastAsia="Century Gothic"/>
          <w:b w:val="0"/>
          <w:i w:val="0"/>
          <w:sz w:val="20"/>
        </w:rPr>
        <w:t>Los matriculados continúan su descenso, pero los inscritos, que son quienes cursan asignaturas y generan la demanda de paralelos, aulas y bibliografía, se mantienen prácticamente estables, entre 3.071 y 3.125 estudiantes. A estas cifras se suman los estudiantes de las sedes desconcentradas, que en 2025 fueron 104 (punto 2.7.2).</w:t>
      </w:r>
    </w:p>
    <w:p>
      <w:pPr>
        <w:spacing w:before="0" w:after="200" w:line="240" w:lineRule="auto"/>
        <w:jc w:val="both"/>
      </w:pPr>
      <w:r>
        <w:rPr>
          <w:rFonts w:ascii="Century Gothic" w:hAnsi="Century Gothic" w:cs="Century Gothic" w:eastAsia="Century Gothic"/>
          <w:b w:val="0"/>
          <w:i w:val="0"/>
          <w:sz w:val="20"/>
        </w:rPr>
        <w:t>Para estimar los paralelos se proyectan las inscripciones por asignatura. La relación entre inscripciones por asignatura e inscritos fue de 7,04 en 2023, 7,48 en 2024, 7,63 en 2025 y 7,74 en 2026 (Cuadros 1 y 2 del punto 11.1.1). La proyección mantiene la relación de 2026 y aplica los límites del punto 8.6.</w:t>
      </w:r>
    </w:p>
    <w:p>
      <w:pPr>
        <w:keepNext/>
        <w:spacing w:before="40" w:after="80" w:line="240" w:lineRule="auto"/>
        <w:jc w:val="center"/>
      </w:pPr>
      <w:r>
        <w:rPr>
          <w:rFonts w:ascii="Century Gothic" w:hAnsi="Century Gothic" w:cs="Century Gothic" w:eastAsia="Century Gothic"/>
          <w:b/>
          <w:i w:val="0"/>
          <w:sz w:val="20"/>
        </w:rPr>
        <w:t>Cuadro 31. Proyección de inscripciones por asignatura y paralelos requeridos, 2027–2031</w:t>
      </w:r>
    </w:p>
    <w:tbl>
      <w:tblPr>
        <w:tblW w:type="auto" w:w="0"/>
        <w:jc w:val="center"/>
        <w:tblLayout w:type="fixed"/>
        <w:tblLook w:firstColumn="1" w:firstRow="1" w:lastColumn="0" w:lastRow="0" w:noHBand="0" w:noVBand="1" w:val="04A0"/>
      </w:tblPr>
      <w:tblGrid>
        <w:gridCol w:w="907"/>
        <w:gridCol w:w="2041"/>
        <w:gridCol w:w="2154"/>
        <w:gridCol w:w="1984"/>
        <w:gridCol w:w="1984"/>
      </w:tblGrid>
      <w:tr>
        <w:trPr>
          <w:tblHeader/>
        </w:trPr>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Inscritos proyectados</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Inscripciones por asignatura</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Paralelos con máximo de 80</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Paralelos con meta de 60</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2027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3.109 a 3.125</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24.062 a 24.190</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301 a 303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402 a 404</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2028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3.102 a 3.112</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24.006 a 24.084</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301 a 302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401 a 402</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2029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3.095 a 3.098</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23.951 a 23.979</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300 a 300</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400 a 400</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2030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3.085 a 3.087</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23.874 a 23.896</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299 a 299</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398 a 399</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2031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3.071 a 3.080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23.769 a 23.842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298 a 299</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397 a 398</w:t>
            </w:r>
          </w:p>
        </w:tc>
      </w:tr>
    </w:tbl>
    <w:p>
      <w:pPr>
        <w:spacing w:before="40" w:after="200" w:line="240" w:lineRule="auto"/>
        <w:jc w:val="left"/>
      </w:pPr>
      <w:r>
        <w:rPr>
          <w:rFonts w:ascii="Century Gothic" w:hAnsi="Century Gothic" w:cs="Century Gothic" w:eastAsia="Century Gothic"/>
          <w:b w:val="0"/>
          <w:i w:val="0"/>
          <w:sz w:val="16"/>
        </w:rPr>
        <w:t>Fuente: elaboración propia con base en el Cuadro 30, el Cuadro 2 del punto 11.1.1 y el Cuadro 7 del punto 8.6.</w:t>
      </w:r>
    </w:p>
    <w:p>
      <w:pPr>
        <w:spacing w:before="0" w:after="200" w:line="240" w:lineRule="auto"/>
        <w:jc w:val="both"/>
      </w:pPr>
      <w:r>
        <w:rPr>
          <w:rFonts w:ascii="Century Gothic" w:hAnsi="Century Gothic" w:cs="Century Gothic" w:eastAsia="Century Gothic"/>
          <w:b w:val="0"/>
          <w:i w:val="0"/>
          <w:sz w:val="20"/>
        </w:rPr>
        <w:t>La necesidad se mantiene entre 298 y 303 paralelos con el máximo de 80 estudiantes, lo que confirma los 302 paralelos y los 75 paralelos adicionales a los 227 de 2026 previstos en los puntos 11.1.1 y 11.2.3. La necesidad de recursos del Rediseño Curricular proviene de reducir el número de estudiantes por paralelo y no de un crecimiento de la matrícula. Si la relación de inscripciones por inscrito aumentara en media asignatura, las inscripciones crecerían en unas 1.550 y los paralelos en unos 20, por lo que la relación se revisa cada año conforme al punto 12.1.5.</w:t>
      </w:r>
    </w:p>
    <w:p>
      <w:pPr>
        <w:spacing w:before="0" w:after="200" w:line="240" w:lineRule="auto"/>
        <w:jc w:val="both"/>
      </w:pPr>
      <w:r>
        <w:rPr>
          <w:rFonts w:ascii="Century Gothic" w:hAnsi="Century Gothic" w:cs="Century Gothic" w:eastAsia="Century Gothic"/>
          <w:b w:val="0"/>
          <w:i w:val="0"/>
          <w:sz w:val="20"/>
        </w:rPr>
        <w:t>Para el primer año, los nuevos inscritos fueron 498 en 2023, 448 en 2024 y 471 en 2025, con un promedio de 472 estudiantes, según la DSIE citada en el Diagnóstico de la Carrera 2026. Con el máximo de 80 estudiantes, cada asignatura de primer año requiere seis paralelos.</w:t>
      </w:r>
    </w:p>
    <w:p>
      <w:pPr>
        <w:spacing w:before="0" w:after="200" w:line="240" w:lineRule="auto"/>
        <w:jc w:val="both"/>
      </w:pPr>
      <w:r>
        <w:rPr>
          <w:rFonts w:ascii="Century Gothic" w:hAnsi="Century Gothic" w:cs="Century Gothic" w:eastAsia="Century Gothic"/>
          <w:b w:val="0"/>
          <w:i w:val="0"/>
          <w:sz w:val="20"/>
        </w:rPr>
        <w:t>En cuanto a los titulados, la Carrera tituló entre 274 y 523 estudiantes por año entre 2021 y 2025, con un promedio de 379 (Cuadro 10 del punto 2.7.2). Esta cifra es la referencia de la oferta anual de nuevos profesionales al mercado laboral.</w:t>
      </w:r>
    </w:p>
    <w:p>
      <w:pPr>
        <w:keepNext/>
        <w:spacing w:before="40" w:after="200" w:line="240" w:lineRule="auto"/>
        <w:jc w:val="left"/>
      </w:pPr>
      <w:r>
        <w:rPr>
          <w:rFonts w:ascii="Century Gothic" w:hAnsi="Century Gothic" w:cs="Century Gothic" w:eastAsia="Century Gothic"/>
          <w:b/>
          <w:i w:val="0"/>
          <w:sz w:val="22"/>
        </w:rPr>
        <w:t>Demanda laboral</w:t>
      </w:r>
    </w:p>
    <w:p>
      <w:pPr>
        <w:spacing w:before="0" w:after="200" w:line="240" w:lineRule="auto"/>
        <w:jc w:val="both"/>
      </w:pPr>
      <w:r>
        <w:rPr>
          <w:rFonts w:ascii="Century Gothic" w:hAnsi="Century Gothic" w:cs="Century Gothic" w:eastAsia="Century Gothic"/>
          <w:b w:val="0"/>
          <w:i w:val="0"/>
          <w:sz w:val="20"/>
        </w:rPr>
        <w:t>No existe en Bolivia una proyección oficial de la demanda de contadores públicos. Por ello, la demanda laboral se estima a partir de la base empresarial registrada, que es el conjunto de unidades económicas que requieren servicios contables, y se describe su tendencia con las fuentes del Cuadro 24.</w:t>
      </w:r>
    </w:p>
    <w:p>
      <w:pPr>
        <w:keepNext/>
        <w:spacing w:before="40" w:after="80" w:line="240" w:lineRule="auto"/>
        <w:jc w:val="center"/>
      </w:pPr>
      <w:r>
        <w:rPr>
          <w:rFonts w:ascii="Century Gothic" w:hAnsi="Century Gothic" w:cs="Century Gothic" w:eastAsia="Century Gothic"/>
          <w:b/>
          <w:i w:val="0"/>
          <w:sz w:val="20"/>
        </w:rPr>
        <w:t>Cuadro 32. Base empresarial registrada en el SEPREC</w:t>
      </w:r>
    </w:p>
    <w:tbl>
      <w:tblPr>
        <w:tblW w:type="auto" w:w="0"/>
        <w:jc w:val="center"/>
        <w:tblLayout w:type="fixed"/>
        <w:tblLook w:firstColumn="1" w:firstRow="1" w:lastColumn="0" w:lastRow="0" w:noHBand="0" w:noVBand="1" w:val="04A0"/>
      </w:tblPr>
      <w:tblGrid>
        <w:gridCol w:w="5102"/>
        <w:gridCol w:w="3969"/>
      </w:tblGrid>
      <w:tr>
        <w:trPr>
          <w:tblHeader/>
        </w:trPr>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w:t>
            </w:r>
          </w:p>
        </w:tc>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Dato</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Unidades económicas al 31 de marzo de 2022</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355.335</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Unidades económicas al 30 de noviembre de 2025</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398.131</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Crecimiento en el periodo</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12,0 %, equivalente a 3,15 % anual</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La Paz</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122.956 unidades, el 30,9 %</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Santa Cruz</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119.179 unidades, el 29,9 %</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Cochabamba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66.170 unidades, el 16,6 %</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Empresas unipersonales</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308.651 unidades, el 77,5 %</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Sociedades de responsabilidad limitada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84.208 unidades, el 21,1 %</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Nuevas inscripciones de enero a noviembre de 2025</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14.752</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Unidades con matrícula de comercio renovada a noviembre de 2025</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79.632</w:t>
            </w:r>
          </w:p>
        </w:tc>
      </w:tr>
    </w:tbl>
    <w:p>
      <w:pPr>
        <w:spacing w:before="40" w:after="200" w:line="240" w:lineRule="auto"/>
        <w:jc w:val="left"/>
      </w:pPr>
      <w:r>
        <w:rPr>
          <w:rFonts w:ascii="Century Gothic" w:hAnsi="Century Gothic" w:cs="Century Gothic" w:eastAsia="Century Gothic"/>
          <w:b w:val="0"/>
          <w:i w:val="0"/>
          <w:sz w:val="16"/>
        </w:rPr>
        <w:t>Fuente: Servicio Plurinacional de Registro de Comercio (SEPREC), Información estadística, noviembre de 2025.</w:t>
      </w:r>
    </w:p>
    <w:p>
      <w:pPr>
        <w:spacing w:before="0" w:after="200" w:line="240" w:lineRule="auto"/>
        <w:jc w:val="both"/>
      </w:pPr>
      <w:r>
        <w:rPr>
          <w:rFonts w:ascii="Century Gothic" w:hAnsi="Century Gothic" w:cs="Century Gothic" w:eastAsia="Century Gothic"/>
          <w:b w:val="0"/>
          <w:i w:val="0"/>
          <w:sz w:val="20"/>
        </w:rPr>
        <w:t>Si la base empresarial mantuviera el ritmo de 3,15 % anual, alcanzaría alrededor de 425.000 unidades económicas en 2027 y de 481.000 en 2031. Es una extrapolación referencial del ritmo observado y no una previsión del SEPREC. La Paz concentra casi un tercio de la base, y su composición, con predominio de empresas unipersonales, confirma la importancia del ejercicio independiente y del servicio a la pequeña empresa señalados en el Cuadro 21.</w:t>
      </w:r>
    </w:p>
    <w:p>
      <w:pPr>
        <w:spacing w:before="0" w:after="200" w:line="240" w:lineRule="auto"/>
        <w:jc w:val="both"/>
      </w:pPr>
      <w:r>
        <w:rPr>
          <w:rFonts w:ascii="Century Gothic" w:hAnsi="Century Gothic" w:cs="Century Gothic" w:eastAsia="Century Gothic"/>
          <w:b w:val="0"/>
          <w:i w:val="0"/>
          <w:sz w:val="20"/>
        </w:rPr>
        <w:t>La composición de esa demanda cambia. El Foro Económico Mundial (2025) sitúa los puestos de contabilidad, teneduría, nómina y auditoría entre los de mayor declive proyectado hacia 2030, mientras la inteligencia artificial y el big data encabezan las competencias de mayor crecimiento (Cuadro 33). En el ámbito local, la mitad de los egresados de Contaduría Pública encuestados por Ipsos CIESMORI prevé un mercado saturado en los próximos cinco años, y el 77 % de quienes trabajan como dependientes lo hace en nivel técnico operativo (Cuadro 20).</w:t>
      </w:r>
    </w:p>
    <w:p>
      <w:pPr>
        <w:spacing w:before="0" w:after="200" w:line="240" w:lineRule="auto"/>
        <w:jc w:val="both"/>
      </w:pPr>
      <w:r>
        <w:rPr>
          <w:rFonts w:ascii="Century Gothic" w:hAnsi="Century Gothic" w:cs="Century Gothic" w:eastAsia="Century Gothic"/>
          <w:b w:val="0"/>
          <w:i w:val="0"/>
          <w:sz w:val="20"/>
        </w:rPr>
        <w:t>La triangulación indica que la saturación percibida corresponde al perfil tradicional, centrado en el registro de transacciones y la teneduría, y no a la profesión en su conjunto: la base de unidades económicas que requieren servicios contables crece de forma moderada, mientras la demanda se desplaza hacia el control, el aseguramiento, la tributación, la información de sostenibilidad y el análisis de datos.</w:t>
      </w:r>
    </w:p>
    <w:p>
      <w:pPr>
        <w:spacing w:before="40" w:after="80" w:line="240" w:lineRule="auto"/>
        <w:jc w:val="center"/>
      </w:pPr>
      <w:r>
        <w:drawing>
          <wp:inline xmlns:a="http://schemas.openxmlformats.org/drawingml/2006/main" xmlns:pic="http://schemas.openxmlformats.org/drawingml/2006/picture">
            <wp:extent cx="5580000" cy="2587091"/>
            <wp:docPr id="4" name="Picture 4"/>
            <wp:cNvGraphicFramePr>
              <a:graphicFrameLocks noChangeAspect="1"/>
            </wp:cNvGraphicFramePr>
            <a:graphic>
              <a:graphicData uri="http://schemas.openxmlformats.org/drawingml/2006/picture">
                <pic:pic>
                  <pic:nvPicPr>
                    <pic:cNvPr id="0" name="grafico3.png"/>
                    <pic:cNvPicPr/>
                  </pic:nvPicPr>
                  <pic:blipFill>
                    <a:blip r:embed="rId14"/>
                    <a:stretch>
                      <a:fillRect/>
                    </a:stretch>
                  </pic:blipFill>
                  <pic:spPr>
                    <a:xfrm>
                      <a:off x="0" y="0"/>
                      <a:ext cx="5580000" cy="2587091"/>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Gráfico 4. Desplazamiento de la demanda del perfil profesional. Fuente: elaboración propia con base en el punto 3.4.1, el Foro Económico Mundial (2025), Ipsos CIESMORI (2025) y el SEPREC (2025).</w:t>
      </w:r>
    </w:p>
    <w:p>
      <w:pPr>
        <w:keepNext/>
        <w:spacing w:before="40" w:after="200" w:line="240" w:lineRule="auto"/>
        <w:jc w:val="left"/>
      </w:pPr>
      <w:r>
        <w:rPr>
          <w:rFonts w:ascii="Century Gothic" w:hAnsi="Century Gothic" w:cs="Century Gothic" w:eastAsia="Century Gothic"/>
          <w:b/>
          <w:i w:val="0"/>
          <w:sz w:val="22"/>
        </w:rPr>
        <w:t>Escenarios</w:t>
      </w:r>
    </w:p>
    <w:p>
      <w:pPr>
        <w:numPr>
          <w:ilvl w:val="0"/>
          <w:numId w:val="903"/>
        </w:numPr>
        <w:spacing w:before="0" w:after="160" w:line="240" w:lineRule="auto"/>
        <w:jc w:val="both"/>
      </w:pPr>
      <w:r>
        <w:rPr>
          <w:rFonts w:ascii="Century Gothic" w:hAnsi="Century Gothic" w:cs="Century Gothic" w:eastAsia="Century Gothic"/>
          <w:b/>
          <w:i w:val="0"/>
          <w:sz w:val="20"/>
        </w:rPr>
        <w:t>Escenario inercial, con el Plan 2013.</w:t>
      </w:r>
      <w:r>
        <w:rPr>
          <w:rFonts w:ascii="Century Gothic" w:hAnsi="Century Gothic" w:cs="Century Gothic" w:eastAsia="Century Gothic"/>
          <w:b w:val="0"/>
          <w:i w:val="0"/>
          <w:sz w:val="20"/>
        </w:rPr>
        <w:t xml:space="preserve"> Se mantienen las brechas de competencias tecnológicas y de conducción del Cuadro 22, la concentración de los titulados en el nivel técnico operativo y en ingresos de hasta Bs 5.000, y la tendencia decreciente de la matrícula, frente a una demanda que reduce los puestos de registro.</w:t>
      </w:r>
    </w:p>
    <w:p>
      <w:pPr>
        <w:numPr>
          <w:ilvl w:val="0"/>
          <w:numId w:val="903"/>
        </w:numPr>
        <w:spacing w:before="0" w:after="200" w:line="240" w:lineRule="auto"/>
        <w:jc w:val="both"/>
      </w:pPr>
      <w:r>
        <w:rPr>
          <w:rFonts w:ascii="Century Gothic" w:hAnsi="Century Gothic" w:cs="Century Gothic" w:eastAsia="Century Gothic"/>
          <w:b/>
          <w:i w:val="0"/>
          <w:sz w:val="20"/>
        </w:rPr>
        <w:t>Escenario del Rediseño Curricular.</w:t>
      </w:r>
      <w:r>
        <w:rPr>
          <w:rFonts w:ascii="Century Gothic" w:hAnsi="Century Gothic" w:cs="Century Gothic" w:eastAsia="Century Gothic"/>
          <w:b w:val="0"/>
          <w:i w:val="0"/>
          <w:sz w:val="20"/>
        </w:rPr>
        <w:t xml:space="preserve"> La oferta anual de unos 379 titulados se orienta a las áreas en crecimiento identificadas en los puntos 3.3.3, 3.3.4 y 3.4, con prácticas preprofesionales, laboratorio con software profesional e información y aseguramiento de sostenibilidad. Sus resultados en la inserción, el nivel jerárquico y los ingresos de los titulados se miden con el seguimiento a titulados y la consulta a empleadores del punto 12.2.</w:t>
      </w:r>
    </w:p>
    <w:p>
      <w:pPr>
        <w:keepNext/>
        <w:spacing w:before="40" w:after="200" w:line="240" w:lineRule="auto"/>
        <w:jc w:val="left"/>
      </w:pPr>
      <w:r>
        <w:rPr>
          <w:rFonts w:ascii="Century Gothic" w:hAnsi="Century Gothic" w:cs="Century Gothic" w:eastAsia="Century Gothic"/>
          <w:b/>
          <w:i w:val="0"/>
          <w:sz w:val="22"/>
        </w:rPr>
        <w:t>Actualización de las proyecciones</w:t>
      </w:r>
    </w:p>
    <w:p>
      <w:pPr>
        <w:spacing w:before="0" w:after="200" w:line="240" w:lineRule="auto"/>
        <w:jc w:val="both"/>
      </w:pPr>
      <w:r>
        <w:rPr>
          <w:rFonts w:ascii="Century Gothic" w:hAnsi="Century Gothic" w:cs="Century Gothic" w:eastAsia="Century Gothic"/>
          <w:b w:val="0"/>
          <w:i w:val="0"/>
          <w:sz w:val="20"/>
        </w:rPr>
        <w:t>Las proyecciones se actualizan al inicio de cada gestión con los datos de la DSIE, del Centro de Cómputo y del SEPREC, conforme al punto 12.1.5, y se contrastan con los resultados del seguimiento a titulados y de la consulta a empleadores del punto 12.2.</w:t>
      </w:r>
    </w:p>
    <w:p>
      <w:pPr>
        <w:keepNext/>
        <w:spacing w:before="40" w:after="80" w:line="240" w:lineRule="auto"/>
        <w:jc w:val="center"/>
      </w:pPr>
      <w:r>
        <w:rPr>
          <w:rFonts w:ascii="Century Gothic" w:hAnsi="Century Gothic" w:cs="Century Gothic" w:eastAsia="Century Gothic"/>
          <w:b/>
          <w:i w:val="0"/>
          <w:sz w:val="20"/>
        </w:rPr>
        <w:t>Ajustes en otros puntos</w:t>
      </w:r>
    </w:p>
    <w:tbl>
      <w:tblPr>
        <w:tblW w:type="auto" w:w="0"/>
        <w:jc w:val="center"/>
        <w:tblLayout w:type="fixed"/>
        <w:tblLook w:firstColumn="1" w:firstRow="1" w:lastColumn="0" w:lastRow="0" w:noHBand="0" w:noVBand="1" w:val="04A0"/>
      </w:tblPr>
      <w:tblGrid>
        <w:gridCol w:w="1701"/>
        <w:gridCol w:w="7370"/>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737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Texto a incorporar</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3.1.3, Cuadro 10</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Estudio de mercado laboral de Ipsos CIESMORI (2025) y diagnóstico FODA del IICCFA (2025)</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3.2.1, Cuadro 12, fila Pertinencia</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Ipsos CIESMORI 2025, encuesta BID 2022, FODA del Instituto de Investigaciones 2025 y normativa nacional e internacional, con sus fichas técnicas en el punto 3.3.5</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3.3.2, primer párrafo</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La Encuesta de demanda laboral del BID, levantada entre el segundo semestre de 2022 y abril de 2023 en las áreas metropolitanas de La Paz, Cochabamba y Santa Cruz, cuya ficha técnica se presenta en el Cuadro 26, muestra que…</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3.4 y 3.5</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Los Cuadros 24 a 33 pasan a ser 33 a 42.</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9.1.2, al final del párrafo sobre la demanda</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Según la proyección del punto 3.3.6, las inscripciones se mantendrán en torno a 24.000 por año hasta 2031, por lo que esta relación no mejorará sin la ampliación del acervo y de los recursos digitales.</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11.1.1, al final del último párrafo</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La proyección 2027–2031 del punto 3.3.6 mantiene esta necesidad entre 298 y 303 paralelos con el máximo de 80 estudiantes.</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12.1.5, párrafo nuevo</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Al inicio de cada gestión, la Dirección de Carrera actualiza las proyecciones del punto 3.3.6 con los datos de la DSIE, del Centro de Cómputo y del SEPREC, y ajusta la programación de paralelos.</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12.2, acción nueva</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Consultar a los empleadores de las áreas laborales del Cuadro 21 del punto 3.3.3 al menos una vez por gestión sobre el desempeño de los titulados y las competencias requeridas, con una ficha técnica como la del punto 3.3.5.</w:t>
            </w:r>
          </w:p>
        </w:tc>
      </w:tr>
    </w:tbl>
    <w:p>
      <w:pPr>
        <w:spacing w:before="0" w:after="120" w:line="240" w:lineRule="auto"/>
        <w:jc w:val="left"/>
      </w:pP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Nota para la Comisión (no se adjunta):</w:t>
            </w:r>
          </w:p>
          <w:p>
            <w:pPr>
              <w:spacing w:before="60" w:after="60" w:line="240" w:lineRule="auto"/>
              <w:jc w:val="both"/>
            </w:pPr>
            <w:r>
              <w:rPr>
                <w:rFonts w:ascii="Century Gothic" w:hAnsi="Century Gothic" w:cs="Century Gothic" w:eastAsia="Century Gothic"/>
                <w:b w:val="0"/>
                <w:i w:val="0"/>
                <w:sz w:val="20"/>
              </w:rPr>
              <w:t>▪ Este contenido ya está en el documento consolidado, resaltado en amarillo y pendiente de aprobación.</w:t>
            </w:r>
          </w:p>
          <w:p>
            <w:pPr>
              <w:spacing w:before="60" w:after="60" w:line="240" w:lineRule="auto"/>
              <w:jc w:val="both"/>
            </w:pPr>
            <w:r>
              <w:rPr>
                <w:rFonts w:ascii="Century Gothic" w:hAnsi="Century Gothic" w:cs="Century Gothic" w:eastAsia="Century Gothic"/>
                <w:b w:val="0"/>
                <w:i w:val="0"/>
                <w:sz w:val="20"/>
              </w:rPr>
              <w:t>▪ Del archivo «Punto 1» no se incorporaron, por falta de fuente: el modelo del CEUB D = f(Ne, Rp, Oe, Ea), la demanda de 1.100 a 1.300 contadores por año, el 80 % de ingresos de firmas por consultoría y las metas del 45 % y del 5 %. Se corrigieron: 67 % de mujeres en Contaduría (no 59 %), 122.956 empresas en La Paz (no 117.800) y el «93 %», que no es una brecha.</w:t>
            </w:r>
          </w:p>
          <w:p>
            <w:pPr>
              <w:spacing w:before="60" w:after="60" w:line="240" w:lineRule="auto"/>
              <w:jc w:val="both"/>
            </w:pPr>
            <w:r>
              <w:rPr>
                <w:rFonts w:ascii="Century Gothic" w:hAnsi="Century Gothic" w:cs="Century Gothic" w:eastAsia="Century Gothic"/>
                <w:b w:val="0"/>
                <w:i w:val="0"/>
                <w:sz w:val="20"/>
              </w:rPr>
              <w:t>▪ Falta cotejar la cifra de 1.931 empresas con la nota técnica IDB-TN-2795 del BID.</w:t>
            </w:r>
          </w:p>
        </w:tc>
      </w:tr>
    </w:tbl>
    <w:p>
      <w:pPr>
        <w:spacing w:before="0" w:after="120" w:line="240" w:lineRule="auto"/>
        <w:jc w:val="left"/>
      </w:pPr>
    </w:p>
    <w:p>
      <w:r>
        <w:br w:type="page"/>
      </w:r>
    </w:p>
    <w:p>
      <w:pPr>
        <w:keepNext/>
        <w:spacing w:before="160" w:after="200" w:line="240" w:lineRule="auto"/>
        <w:jc w:val="left"/>
      </w:pPr>
      <w:r>
        <w:rPr>
          <w:rFonts w:ascii="Century Gothic" w:hAnsi="Century Gothic" w:cs="Century Gothic" w:eastAsia="Century Gothic"/>
          <w:b/>
          <w:i w:val="0"/>
          <w:sz w:val="24"/>
        </w:rPr>
        <w:t>Recomendación 2. Recursos y convenios para las prácticas preprofesionales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4.8.4</w:t>
        <w:tab/>
      </w:r>
      <w:r>
        <w:rPr>
          <w:rFonts w:ascii="Century Gothic" w:hAnsi="Century Gothic" w:cs="Century Gothic" w:eastAsia="Century Gothic"/>
          <w:b/>
          <w:i w:val="0"/>
          <w:sz w:val="22"/>
        </w:rPr>
        <w:t>Disponibilidad de recursos y convenios para las prácticas</w:t>
      </w:r>
    </w:p>
    <w:p>
      <w:pPr>
        <w:spacing w:before="0" w:after="200" w:line="240" w:lineRule="auto"/>
        <w:jc w:val="both"/>
      </w:pPr>
      <w:r>
        <w:rPr>
          <w:rFonts w:ascii="Century Gothic" w:hAnsi="Century Gothic" w:cs="Century Gothic" w:eastAsia="Century Gothic"/>
          <w:b w:val="0"/>
          <w:i w:val="0"/>
          <w:sz w:val="20"/>
        </w:rPr>
        <w:t>Como el Rediseño Curricular se implementa año por año desde 2027 (punto 16.2), las prácticas formativas en asignaturas comienzan con la primera cohorte, mientras que las prácticas preprofesionales en organizaciones comienzan en 2029, cuando esa cohorte llega al tercer año. Las gestiones 2027 y 2028 se destinan a suscribir los convenios y aprobar el reglamento.</w:t>
      </w:r>
    </w:p>
    <w:p>
      <w:pPr>
        <w:keepNext/>
        <w:spacing w:before="40" w:after="80" w:line="240" w:lineRule="auto"/>
        <w:jc w:val="center"/>
      </w:pPr>
      <w:r>
        <w:rPr>
          <w:rFonts w:ascii="Century Gothic" w:hAnsi="Century Gothic" w:cs="Century Gothic" w:eastAsia="Century Gothic"/>
          <w:b/>
          <w:i w:val="0"/>
          <w:sz w:val="20"/>
        </w:rPr>
        <w:t>Cuadro 2. Calendario de las prácticas durante la implementación</w:t>
      </w:r>
    </w:p>
    <w:tbl>
      <w:tblPr>
        <w:tblW w:type="auto" w:w="0"/>
        <w:jc w:val="center"/>
        <w:tblLayout w:type="fixed"/>
        <w:tblLook w:firstColumn="1" w:firstRow="1" w:lastColumn="0" w:lastRow="0" w:noHBand="0" w:noVBand="1" w:val="04A0"/>
      </w:tblPr>
      <w:tblGrid>
        <w:gridCol w:w="907"/>
        <w:gridCol w:w="1077"/>
        <w:gridCol w:w="2948"/>
        <w:gridCol w:w="4139"/>
      </w:tblGrid>
      <w:tr>
        <w:trPr>
          <w:tblHeader/>
        </w:trPr>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Gestión</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Año que inicia</w:t>
            </w:r>
          </w:p>
        </w:tc>
        <w:tc>
          <w:tcPr>
            <w:tcW w:type="dxa" w:w="29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Niveles de práctica en vigencia</w:t>
            </w:r>
          </w:p>
        </w:tc>
        <w:tc>
          <w:tcPr>
            <w:tcW w:type="dxa" w:w="413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Recursos que deben estar disponibles</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2027</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Primero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Prácticas formativas en asignaturas</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Laboratorios, software de ofimática y análisis de datos (CPA-102, MAT-101 y MAT-102)</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2028</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Segundo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Prácticas formativas en asignaturas</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Software contable y aplicativos tributarios (CPA-201 y CPA-203); reglamento aprobado y convenios suscritos</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2029</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Tercero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Primeras prácticas preprofesionales en organizaciones</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Convenios con cupos, tutores académicos y de la entidad; sistemas ERP (CPA-305)</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2030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Cuarto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 agregan gabinetes y simulación profesional</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Herramientas de auditoría asistida por computadora (CPA-407); espacios de simulación</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2031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Quinto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Todos los niveles</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Herramientas de auditoría (CPA-502, CPA-505 y CPA-508); convenios con entidades sin fines de lucro (CPA-507)</w:t>
            </w:r>
          </w:p>
        </w:tc>
      </w:tr>
    </w:tbl>
    <w:p>
      <w:pPr>
        <w:spacing w:before="40" w:after="200" w:line="240" w:lineRule="auto"/>
        <w:jc w:val="left"/>
      </w:pPr>
      <w:r>
        <w:rPr>
          <w:rFonts w:ascii="Century Gothic" w:hAnsi="Century Gothic" w:cs="Century Gothic" w:eastAsia="Century Gothic"/>
          <w:b w:val="0"/>
          <w:i w:val="0"/>
          <w:sz w:val="16"/>
        </w:rPr>
        <w:t>Fuente: elaboración con base en los puntos 4.8.2, 10.3 y 16.2 y en la malla del punto 4.4.3.</w:t>
      </w:r>
    </w:p>
    <w:p>
      <w:pPr>
        <w:spacing w:before="0" w:after="200" w:line="240" w:lineRule="auto"/>
        <w:jc w:val="both"/>
      </w:pPr>
      <w:r>
        <w:rPr>
          <w:rFonts w:ascii="Century Gothic" w:hAnsi="Century Gothic" w:cs="Century Gothic" w:eastAsia="Century Gothic"/>
          <w:b w:val="0"/>
          <w:i w:val="0"/>
          <w:sz w:val="20"/>
        </w:rPr>
        <w:t>La primera cohorte se estima con el promedio de nuevos inscritos de 2023 a 2025, 472 estudiantes (DSIE, citada en el Diagnóstico de la Carrera 2026). El cálculo no descuenta el abandono, por lo que representa el máximo de plazas requeridas:</w:t>
      </w:r>
    </w:p>
    <w:p>
      <w:pPr>
        <w:keepNext/>
        <w:spacing w:before="40" w:after="80" w:line="240" w:lineRule="auto"/>
        <w:jc w:val="center"/>
      </w:pPr>
      <w:r>
        <w:rPr>
          <w:rFonts w:ascii="Century Gothic" w:hAnsi="Century Gothic" w:cs="Century Gothic" w:eastAsia="Century Gothic"/>
          <w:b/>
          <w:i w:val="0"/>
          <w:sz w:val="20"/>
        </w:rPr>
        <w:t>Cuadro 3. Plazas de práctica y tutores académicos requeridos</w:t>
      </w:r>
    </w:p>
    <w:tbl>
      <w:tblPr>
        <w:tblW w:type="auto" w:w="0"/>
        <w:jc w:val="center"/>
        <w:tblLayout w:type="fixed"/>
        <w:tblLook w:firstColumn="1" w:firstRow="1" w:lastColumn="0" w:lastRow="0" w:noHBand="0" w:noVBand="1" w:val="04A0"/>
      </w:tblPr>
      <w:tblGrid>
        <w:gridCol w:w="1020"/>
        <w:gridCol w:w="2268"/>
        <w:gridCol w:w="2268"/>
        <w:gridCol w:w="1757"/>
        <w:gridCol w:w="1757"/>
      </w:tblGrid>
      <w:tr>
        <w:trPr>
          <w:tblHeader/>
        </w:trPr>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Gestión</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Alternativa A: una práctica entre 3.º y 5.º año</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Alternativa B: una práctica por año</w:t>
            </w:r>
          </w:p>
        </w:tc>
        <w:tc>
          <w:tcPr>
            <w:tcW w:type="dxa" w:w="175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Tutores, alternativa A</w:t>
            </w:r>
          </w:p>
        </w:tc>
        <w:tc>
          <w:tcPr>
            <w:tcW w:type="dxa" w:w="175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Tutores, alternativa B</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2029</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Hasta 472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472</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2030</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Hasta 472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944</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48</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2031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Hasta 472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1.416</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71</w:t>
            </w:r>
          </w:p>
        </w:tc>
      </w:tr>
    </w:tbl>
    <w:p>
      <w:pPr>
        <w:spacing w:before="40" w:after="200" w:line="240" w:lineRule="auto"/>
        <w:jc w:val="left"/>
      </w:pPr>
      <w:r>
        <w:rPr>
          <w:rFonts w:ascii="Century Gothic" w:hAnsi="Century Gothic" w:cs="Century Gothic" w:eastAsia="Century Gothic"/>
          <w:b w:val="0"/>
          <w:i w:val="0"/>
          <w:sz w:val="16"/>
        </w:rPr>
        <w:t>Fuente: elaboración propia. Relación de 20 practicantes por tutor académico, que fijará el Reglamento de Prácticas Preprofesionales.</w:t>
      </w:r>
    </w:p>
    <w:p>
      <w:pPr>
        <w:keepNext/>
        <w:spacing w:before="40" w:after="80" w:line="240" w:lineRule="auto"/>
        <w:jc w:val="center"/>
      </w:pPr>
      <w:r>
        <w:rPr>
          <w:rFonts w:ascii="Century Gothic" w:hAnsi="Century Gothic" w:cs="Century Gothic" w:eastAsia="Century Gothic"/>
          <w:b/>
          <w:i w:val="0"/>
          <w:sz w:val="20"/>
        </w:rPr>
        <w:t>Cuadro 4. Verificación de la disponibilidad de recursos para las prácticas</w:t>
      </w:r>
    </w:p>
    <w:tbl>
      <w:tblPr>
        <w:tblW w:type="auto" w:w="0"/>
        <w:jc w:val="center"/>
        <w:tblLayout w:type="fixed"/>
        <w:tblLook w:firstColumn="1" w:firstRow="1" w:lastColumn="0" w:lastRow="0" w:noHBand="0" w:noVBand="1" w:val="04A0"/>
      </w:tblPr>
      <w:tblGrid>
        <w:gridCol w:w="1644"/>
        <w:gridCol w:w="737"/>
        <w:gridCol w:w="3005"/>
        <w:gridCol w:w="1984"/>
        <w:gridCol w:w="1701"/>
      </w:tblGrid>
      <w:tr>
        <w:trPr>
          <w:tblHeader/>
        </w:trPr>
        <w:tc>
          <w:tcPr>
            <w:tcW w:type="dxa" w:w="164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Recurso</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Desde</w:t>
            </w:r>
          </w:p>
        </w:tc>
        <w:tc>
          <w:tcPr>
            <w:tcW w:type="dxa" w:w="300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Situación verificada</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Acción</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Financiamiento</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Laboratorios de computación</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2027</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Parcialmente disponible.</w:t>
            </w:r>
            <w:r>
              <w:rPr>
                <w:rFonts w:ascii="Century Gothic" w:hAnsi="Century Gothic" w:cs="Century Gothic" w:eastAsia="Century Gothic"/>
                <w:b w:val="0"/>
                <w:i w:val="0"/>
                <w:sz w:val="16"/>
              </w:rPr>
              <w:t xml:space="preserve"> 70 puestos en Nava Morales; en el Monoblock Central, 24 de 39 computadoras en mal estado; el 90 % cumplió su ciclo de vida (10.4, 14.3 y 14.5)</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Renovación de 70 computadoras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Bs 820.000 en 2027 (Cuadros 14 y 15 del punto 11.3.5)</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Análisis de datos: Python, R, SPSS, Power BI y Excel</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2027</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Disponible</w:t>
            </w:r>
            <w:r>
              <w:rPr>
                <w:rFonts w:ascii="Century Gothic" w:hAnsi="Century Gothic" w:cs="Century Gothic" w:eastAsia="Century Gothic"/>
                <w:b w:val="0"/>
                <w:i w:val="0"/>
                <w:sz w:val="16"/>
              </w:rPr>
              <w:t xml:space="preserve"> en Nava Morales (10.3)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Instalar en el Monoblock al renovar los equipos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Software de uso libre y licencias existentes</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Software contable y aplicativos tributarios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2028</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Disponible</w:t>
            </w:r>
            <w:r>
              <w:rPr>
                <w:rFonts w:ascii="Century Gothic" w:hAnsi="Century Gothic" w:cs="Century Gothic" w:eastAsia="Century Gothic"/>
                <w:b w:val="0"/>
                <w:i w:val="0"/>
                <w:sz w:val="16"/>
              </w:rPr>
              <w:t>: módulos académicos y SIAT-Desktop (10.3)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Actualización anual</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Bs 41.000 por año (Cuadro 21 del punto 11.3.5)</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Sistemas ERP</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xml:space="preserve"> (10.3)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Alianza universitaria o código abierto, gestionada en 2027 y 2028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Alianzas con proveedores (11.3.3)</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Herramientas de auditoría asistida por computadora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2030</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xml:space="preserve"> (10.3)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Licencia académica o alternativa abierta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Alianzas con proveedores y firmas (11.3.3)</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Plataforma virtual para planes e informes de práctica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Parcialmente disponible</w:t>
            </w:r>
            <w:r>
              <w:rPr>
                <w:rFonts w:ascii="Century Gothic" w:hAnsi="Century Gothic" w:cs="Century Gothic" w:eastAsia="Century Gothic"/>
                <w:b w:val="0"/>
                <w:i w:val="0"/>
                <w:sz w:val="16"/>
              </w:rPr>
              <w:t>: Moodle con limitaciones de capacidad (10.12)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Ampliación y aula virtual de prácticas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Corto plazo del Cuadro 6 del punto 11.1.4</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Salas de simulación</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2030</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xml:space="preserve"> (14.3)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Habilitación de salas para gabinetes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Mediano plazo del punto 11.1.4</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Tutores académicos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Parcialmente disponible</w:t>
            </w:r>
            <w:r>
              <w:rPr>
                <w:rFonts w:ascii="Century Gothic" w:hAnsi="Century Gothic" w:cs="Century Gothic" w:eastAsia="Century Gothic"/>
                <w:b w:val="0"/>
                <w:i w:val="0"/>
                <w:sz w:val="16"/>
              </w:rPr>
              <w:t>: menos de dos de cada cien cargas son de tiempo completo (3.1.2)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Horas de tutoría de práctica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Presupuesto ordinario (11.3.3)</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Coordinación de prácticas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2028</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la unidad de vinculación figura solo como mitigación (11.3.4)</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Designar un coordinador con apoyo administrativo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Presupuesto ordinario (11.2.3)</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Convenios con entidades receptoras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Parcialmente disponible</w:t>
            </w:r>
            <w:r>
              <w:rPr>
                <w:rFonts w:ascii="Century Gothic" w:hAnsi="Century Gothic" w:cs="Century Gothic" w:eastAsia="Century Gothic"/>
                <w:b w:val="0"/>
                <w:i w:val="0"/>
                <w:sz w:val="16"/>
              </w:rPr>
              <w:t>: hay convenios de trabajo dirigido externo (13.1.4), sin inventario de número, vigencia ni cupos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Inventario en 2027 y convenios con cupos hasta 2028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Sin costo directo (11.3.3)</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Espacios internos sin convenio</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Parcialmente disponible</w:t>
            </w:r>
            <w:r>
              <w:rPr>
                <w:rFonts w:ascii="Century Gothic" w:hAnsi="Century Gothic" w:cs="Century Gothic" w:eastAsia="Century Gothic"/>
                <w:b w:val="0"/>
                <w:i w:val="0"/>
                <w:sz w:val="16"/>
              </w:rPr>
              <w:t>: dependencias de la UMSA para trabajo dirigido interno (Resolución HCU N.º 330/2022) e Instituto de Investigaciones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Fijar cupos internos por gestión</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Presupuesto ordinario</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Consultoría social contable</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2030</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prevista en el punto 7, no constituida</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Constitución de la línea, si se mantiene</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Por definir</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Reglamento de Prácticas Preprofesionales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2028</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Elaborar y aprobar en 2028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 requiere</w:t>
            </w:r>
          </w:p>
        </w:tc>
      </w:tr>
    </w:tbl>
    <w:p>
      <w:pPr>
        <w:spacing w:before="40" w:after="200" w:line="240" w:lineRule="auto"/>
        <w:jc w:val="left"/>
      </w:pPr>
      <w:r>
        <w:rPr>
          <w:rFonts w:ascii="Century Gothic" w:hAnsi="Century Gothic" w:cs="Century Gothic" w:eastAsia="Century Gothic"/>
          <w:b w:val="0"/>
          <w:i w:val="0"/>
          <w:sz w:val="16"/>
        </w:rPr>
        <w:t>Fuente: elaboración con base en los puntos 3.1.2, 4.8, 7, 10, 11, 13.1.4 y 14.</w:t>
      </w:r>
    </w:p>
    <w:p>
      <w:pPr>
        <w:keepNext/>
        <w:spacing w:before="40" w:after="200" w:line="240" w:lineRule="auto"/>
        <w:jc w:val="left"/>
      </w:pPr>
      <w:r>
        <w:rPr>
          <w:rFonts w:ascii="Century Gothic" w:hAnsi="Century Gothic" w:cs="Century Gothic" w:eastAsia="Century Gothic"/>
          <w:b/>
          <w:i w:val="0"/>
          <w:sz w:val="22"/>
        </w:rPr>
        <w:t>Estrategia de convenios</w:t>
      </w:r>
    </w:p>
    <w:p>
      <w:pPr>
        <w:numPr>
          <w:ilvl w:val="0"/>
          <w:numId w:val="904"/>
        </w:numPr>
        <w:spacing w:before="0" w:after="160" w:line="240" w:lineRule="auto"/>
        <w:jc w:val="both"/>
      </w:pPr>
      <w:r>
        <w:rPr>
          <w:rFonts w:ascii="Century Gothic" w:hAnsi="Century Gothic" w:cs="Century Gothic" w:eastAsia="Century Gothic"/>
          <w:b/>
          <w:i w:val="0"/>
          <w:sz w:val="20"/>
        </w:rPr>
        <w:t>Entidades prioritarias.</w:t>
      </w:r>
      <w:r>
        <w:rPr>
          <w:rFonts w:ascii="Century Gothic" w:hAnsi="Century Gothic" w:cs="Century Gothic" w:eastAsia="Century Gothic"/>
          <w:b w:val="0"/>
          <w:i w:val="0"/>
          <w:sz w:val="20"/>
        </w:rPr>
        <w:t xml:space="preserve"> Servicio de Impuestos Nacionales, Contraloría General del Estado, entidades públicas nacionales y subnacionales, firmas de auditoría, entidades financieras, empresas, cooperativas y entidades sin fines de lucro, conforme al punto 4.8.3 y al Cuadro 21 del punto 3.3.3.</w:t>
      </w:r>
    </w:p>
    <w:p>
      <w:pPr>
        <w:numPr>
          <w:ilvl w:val="0"/>
          <w:numId w:val="904"/>
        </w:numPr>
        <w:spacing w:before="0" w:after="160" w:line="240" w:lineRule="auto"/>
        <w:jc w:val="both"/>
      </w:pPr>
      <w:r>
        <w:rPr>
          <w:rFonts w:ascii="Century Gothic" w:hAnsi="Century Gothic" w:cs="Century Gothic" w:eastAsia="Century Gothic"/>
          <w:b/>
          <w:i w:val="0"/>
          <w:sz w:val="20"/>
        </w:rPr>
        <w:t>Instrumentos.</w:t>
      </w:r>
      <w:r>
        <w:rPr>
          <w:rFonts w:ascii="Century Gothic" w:hAnsi="Century Gothic" w:cs="Century Gothic" w:eastAsia="Century Gothic"/>
          <w:b w:val="0"/>
          <w:i w:val="0"/>
          <w:sz w:val="20"/>
        </w:rPr>
        <w:t xml:space="preserve"> Convenios marco con instituciones y colegios profesionales, entre ellos el Colegio de Auditores o Contadores Públicos, y convenios específicos de práctica, suscritos por el Rector o el Decano conforme al punto 13.1.4.</w:t>
      </w:r>
    </w:p>
    <w:p>
      <w:pPr>
        <w:numPr>
          <w:ilvl w:val="0"/>
          <w:numId w:val="904"/>
        </w:numPr>
        <w:spacing w:before="0" w:after="160" w:line="240" w:lineRule="auto"/>
        <w:jc w:val="both"/>
      </w:pPr>
      <w:r>
        <w:rPr>
          <w:rFonts w:ascii="Century Gothic" w:hAnsi="Century Gothic" w:cs="Century Gothic" w:eastAsia="Century Gothic"/>
          <w:b/>
          <w:i w:val="0"/>
          <w:sz w:val="20"/>
        </w:rPr>
        <w:t>Contenido mínimo del convenio específico.</w:t>
      </w:r>
      <w:r>
        <w:rPr>
          <w:rFonts w:ascii="Century Gothic" w:hAnsi="Century Gothic" w:cs="Century Gothic" w:eastAsia="Century Gothic"/>
          <w:b w:val="0"/>
          <w:i w:val="0"/>
          <w:sz w:val="20"/>
        </w:rPr>
        <w:t xml:space="preserve"> Cupos por gestión, áreas y actividades de práctica, tutor de la entidad, duración y horarios compatibles con el estudiante que trabaja, confidencialidad, evaluación del practicante y vigencia.</w:t>
      </w:r>
    </w:p>
    <w:p>
      <w:pPr>
        <w:numPr>
          <w:ilvl w:val="0"/>
          <w:numId w:val="904"/>
        </w:numPr>
        <w:spacing w:before="0" w:after="160" w:line="240" w:lineRule="auto"/>
        <w:jc w:val="both"/>
      </w:pPr>
      <w:r>
        <w:rPr>
          <w:rFonts w:ascii="Century Gothic" w:hAnsi="Century Gothic" w:cs="Century Gothic" w:eastAsia="Century Gothic"/>
          <w:b/>
          <w:i w:val="0"/>
          <w:sz w:val="20"/>
        </w:rPr>
        <w:t>Meta de cobertura.</w:t>
      </w:r>
      <w:r>
        <w:rPr>
          <w:rFonts w:ascii="Century Gothic" w:hAnsi="Century Gothic" w:cs="Century Gothic" w:eastAsia="Century Gothic"/>
          <w:b w:val="0"/>
          <w:i w:val="0"/>
          <w:sz w:val="20"/>
        </w:rPr>
        <w:t xml:space="preserve"> Hasta 2028, convenios y cupos internos que sumen al menos las plazas requeridas para 2029.</w:t>
      </w:r>
    </w:p>
    <w:p>
      <w:pPr>
        <w:numPr>
          <w:ilvl w:val="0"/>
          <w:numId w:val="904"/>
        </w:numPr>
        <w:spacing w:before="0" w:after="200" w:line="240" w:lineRule="auto"/>
        <w:jc w:val="both"/>
      </w:pPr>
      <w:r>
        <w:rPr>
          <w:rFonts w:ascii="Century Gothic" w:hAnsi="Century Gothic" w:cs="Century Gothic" w:eastAsia="Century Gothic"/>
          <w:b/>
          <w:i w:val="0"/>
          <w:sz w:val="20"/>
        </w:rPr>
        <w:t>Convenios existentes.</w:t>
      </w:r>
      <w:r>
        <w:rPr>
          <w:rFonts w:ascii="Century Gothic" w:hAnsi="Century Gothic" w:cs="Century Gothic" w:eastAsia="Century Gothic"/>
          <w:b w:val="0"/>
          <w:i w:val="0"/>
          <w:sz w:val="20"/>
        </w:rPr>
        <w:t xml:space="preserve"> Los convenios del trabajo dirigido externo se inventarían y, cuando corresponda, se amplían por adenda para recibir practicantes.</w:t>
      </w:r>
    </w:p>
    <w:p>
      <w:pPr>
        <w:keepNext/>
        <w:spacing w:before="40" w:after="200" w:line="240" w:lineRule="auto"/>
        <w:jc w:val="left"/>
      </w:pPr>
      <w:r>
        <w:rPr>
          <w:rFonts w:ascii="Century Gothic" w:hAnsi="Century Gothic" w:cs="Century Gothic" w:eastAsia="Century Gothic"/>
          <w:b/>
          <w:i w:val="0"/>
          <w:sz w:val="22"/>
        </w:rPr>
        <w:t>Seguimiento</w:t>
      </w:r>
    </w:p>
    <w:p>
      <w:pPr>
        <w:spacing w:before="0" w:after="200" w:line="240" w:lineRule="auto"/>
        <w:jc w:val="both"/>
      </w:pPr>
      <w:r>
        <w:rPr>
          <w:rFonts w:ascii="Century Gothic" w:hAnsi="Century Gothic" w:cs="Century Gothic" w:eastAsia="Century Gothic"/>
          <w:b w:val="0"/>
          <w:i w:val="0"/>
          <w:sz w:val="20"/>
        </w:rPr>
        <w:t>La Coordinación de Prácticas informa cada gestión al Honorable Consejo de Carrera: convenios vigentes y cupos ofrecidos; relación entre cupos y estudiantes habilitados; porcentaje de practicantes con tutor académico y tutor de la entidad; prácticas concluidas con informe aprobado; y valoración de los tutores de las entidades.</w:t>
      </w:r>
    </w:p>
    <w:p>
      <w:pPr>
        <w:keepNext/>
        <w:spacing w:before="40" w:after="80" w:line="240" w:lineRule="auto"/>
        <w:jc w:val="center"/>
      </w:pPr>
      <w:r>
        <w:rPr>
          <w:rFonts w:ascii="Century Gothic" w:hAnsi="Century Gothic" w:cs="Century Gothic" w:eastAsia="Century Gothic"/>
          <w:b/>
          <w:i w:val="0"/>
          <w:sz w:val="20"/>
        </w:rPr>
        <w:t>Ajustes en otros puntos</w:t>
      </w:r>
    </w:p>
    <w:tbl>
      <w:tblPr>
        <w:tblW w:type="auto" w:w="0"/>
        <w:jc w:val="center"/>
        <w:tblLayout w:type="fixed"/>
        <w:tblLook w:firstColumn="1" w:firstRow="1" w:lastColumn="0" w:lastRow="0" w:noHBand="0" w:noVBand="1" w:val="04A0"/>
      </w:tblPr>
      <w:tblGrid>
        <w:gridCol w:w="1701"/>
        <w:gridCol w:w="7370"/>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737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Texto a incorporar</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4.8.2, Cuadro 1, fila Consultoría social contable</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Agregar al final: «una vez constituida la línea de consultoría social contable prevista en el punto 7».</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4.8.3, Carga horaria</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Las horas de práctica se registran como horas no presenciales de las asignaturas vinculadas, que el Reglamento de Prácticas Preprofesionales identificará entre las de tercer a quinto año, y se acreditan en el historial académico del estudiante.</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10.4, párrafo final</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 70 y 36 puestos, los laboratorios atienden simultáneamente a 106 estudiantes; sin embargo, mientras no se renueven los equipos, 24 de las 39 computadoras del Monoblock Central están en mal estado, según el relevamiento de octubre de 2026 (punto 14.3).</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11.2.3, Cuadro 9, fila nueva</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Coordinación de prácticas y vinculación | Designación de un coordinador de prácticas con apoyo administrativo para la gestión de convenios, cupos, tutores y registros | Corto</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11.3.4, Cuadro 12, fase 2</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Capacitación docente en competencias, nuevas normas y herramientas; habilitación de los laboratorios; aprobación del Reglamento de Prácticas Preprofesionales; suscripción de convenios con los cupos que requiere la primera cohorte de tercer año en 2029</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12.1.2, Cuadro 1, fila Proceso</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Encuestas a estudiantes y docentes, observación de aula, registros de prácticas y convenios, e indicadores de prácticas del punto 4.8.4</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13.1.2, Cuadro 2, fila nueva</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Reglamento de Prácticas Preprofesionales | Elaborar | Niveles de práctica, carga horaria mínima, asignaturas vinculadas, requisitos de habilitación, convenios y cupos, tutores académicos y de la entidad, plan, bitácora e informe, evaluación con rúbrica, reconocimiento de la experiencia laboral del estudiante trabajador, derechos y obligaciones del practicante | Punto 4.8</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16.2, Cuadro 2, fila 2028</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Primera evaluación de la implementación y ajustes; planes de asignatura de tercer año; aprobación del Reglamento de Prácticas Preprofesionales y convenios con cupos para 2029</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Anexo: formularios de evidencia</w:t>
      </w:r>
    </w:p>
    <w:p>
      <w:pPr>
        <w:keepNext/>
        <w:spacing w:before="40" w:after="80" w:line="240" w:lineRule="auto"/>
        <w:jc w:val="center"/>
      </w:pPr>
      <w:r>
        <w:rPr>
          <w:rFonts w:ascii="Century Gothic" w:hAnsi="Century Gothic" w:cs="Century Gothic" w:eastAsia="Century Gothic"/>
          <w:b/>
          <w:i w:val="0"/>
          <w:sz w:val="20"/>
        </w:rPr>
        <w:t>Formulario 1. Registro de convenios para prácticas preprofesionales</w:t>
      </w:r>
    </w:p>
    <w:tbl>
      <w:tblPr>
        <w:tblW w:type="auto" w:w="0"/>
        <w:jc w:val="center"/>
        <w:tblLayout w:type="fixed"/>
        <w:tblLook w:firstColumn="1" w:firstRow="1" w:lastColumn="0" w:lastRow="0" w:noHBand="0" w:noVBand="1" w:val="04A0"/>
      </w:tblPr>
      <w:tblGrid>
        <w:gridCol w:w="510"/>
        <w:gridCol w:w="1928"/>
        <w:gridCol w:w="1304"/>
        <w:gridCol w:w="1587"/>
        <w:gridCol w:w="1020"/>
        <w:gridCol w:w="1587"/>
        <w:gridCol w:w="1134"/>
      </w:tblGrid>
      <w:tr>
        <w:trPr>
          <w:tblHeader/>
        </w:trPr>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N.º</w:t>
            </w:r>
          </w:p>
        </w:tc>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Entidad</w:t>
            </w:r>
          </w:p>
        </w:tc>
        <w:tc>
          <w:tcPr>
            <w:tcW w:type="dxa" w:w="130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Tipo de convenio</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Suscripción y vigencia</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Cupos por gestión</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Áreas de práctica</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Estado</w:t>
            </w:r>
          </w:p>
        </w:tc>
      </w:tr>
      <w:tr>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bl>
    <w:p>
      <w:pPr>
        <w:spacing w:before="40" w:after="200" w:line="240" w:lineRule="auto"/>
        <w:jc w:val="left"/>
      </w:pPr>
      <w:r>
        <w:rPr>
          <w:rFonts w:ascii="Century Gothic" w:hAnsi="Century Gothic" w:cs="Century Gothic" w:eastAsia="Century Gothic"/>
          <w:b w:val="0"/>
          <w:i w:val="0"/>
          <w:sz w:val="16"/>
        </w:rPr>
        <w:t>Responsable: Coordinación de Prácticas, con información del Decanato y de la Secretaría General.</w:t>
      </w:r>
    </w:p>
    <w:p>
      <w:pPr>
        <w:keepNext/>
        <w:spacing w:before="40" w:after="80" w:line="240" w:lineRule="auto"/>
        <w:jc w:val="center"/>
      </w:pPr>
      <w:r>
        <w:rPr>
          <w:rFonts w:ascii="Century Gothic" w:hAnsi="Century Gothic" w:cs="Century Gothic" w:eastAsia="Century Gothic"/>
          <w:b/>
          <w:i w:val="0"/>
          <w:sz w:val="20"/>
        </w:rPr>
        <w:t>Formulario 2. Verificación de equipos y software de los laboratorios</w:t>
      </w:r>
    </w:p>
    <w:tbl>
      <w:tblPr>
        <w:tblW w:type="auto" w:w="0"/>
        <w:jc w:val="center"/>
        <w:tblLayout w:type="fixed"/>
        <w:tblLook w:firstColumn="1" w:firstRow="1" w:lastColumn="0" w:lastRow="0" w:noHBand="0" w:noVBand="1" w:val="04A0"/>
      </w:tblPr>
      <w:tblGrid>
        <w:gridCol w:w="1474"/>
        <w:gridCol w:w="964"/>
        <w:gridCol w:w="1134"/>
        <w:gridCol w:w="1134"/>
        <w:gridCol w:w="1814"/>
        <w:gridCol w:w="1247"/>
        <w:gridCol w:w="1304"/>
      </w:tblGrid>
      <w:tr>
        <w:trPr>
          <w:tblHeader/>
        </w:trPr>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Laboratorio</w:t>
            </w:r>
          </w:p>
        </w:tc>
        <w:tc>
          <w:tcPr>
            <w:tcW w:type="dxa" w:w="9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Puestos</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Equipos operativos</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En mal estado</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Software instalado</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Fecha</w:t>
            </w:r>
          </w:p>
        </w:tc>
        <w:tc>
          <w:tcPr>
            <w:tcW w:type="dxa" w:w="130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Responsable</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Nava Morales</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Monoblock Central</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bl>
    <w:p>
      <w:pPr>
        <w:spacing w:before="40" w:after="200" w:line="240" w:lineRule="auto"/>
        <w:jc w:val="left"/>
      </w:pPr>
      <w:r>
        <w:rPr>
          <w:rFonts w:ascii="Century Gothic" w:hAnsi="Century Gothic" w:cs="Century Gothic" w:eastAsia="Century Gothic"/>
          <w:b w:val="0"/>
          <w:i w:val="0"/>
          <w:sz w:val="16"/>
        </w:rPr>
        <w:t>Responsable: Centro de Cómputo de la Carrera.</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Nota para la Comisión (no se adjunta):</w:t>
            </w:r>
          </w:p>
          <w:p>
            <w:pPr>
              <w:spacing w:before="60" w:after="60" w:line="240" w:lineRule="auto"/>
              <w:jc w:val="both"/>
            </w:pPr>
            <w:r>
              <w:rPr>
                <w:rFonts w:ascii="Century Gothic" w:hAnsi="Century Gothic" w:cs="Century Gothic" w:eastAsia="Century Gothic"/>
                <w:b w:val="0"/>
                <w:i w:val="0"/>
                <w:sz w:val="20"/>
              </w:rPr>
              <w:t>▪ Decidir la alternativa A o B del Cuadro 3; se recomienda la A para la primera cohorte. El valor de 20 practicantes por tutor es referencial.</w:t>
            </w:r>
          </w:p>
          <w:p>
            <w:pPr>
              <w:spacing w:before="60" w:after="60" w:line="240" w:lineRule="auto"/>
              <w:jc w:val="both"/>
            </w:pPr>
            <w:r>
              <w:rPr>
                <w:rFonts w:ascii="Century Gothic" w:hAnsi="Century Gothic" w:cs="Century Gothic" w:eastAsia="Century Gothic"/>
                <w:b w:val="0"/>
                <w:i w:val="0"/>
                <w:sz w:val="20"/>
              </w:rPr>
              <w:t>▪ Identificar las asignaturas vinculadas a la práctica; CPA-408, CPA-504, CPA-507 y CPA-510 ya prevén trabajo con entidades reales.</w:t>
            </w:r>
          </w:p>
          <w:p>
            <w:pPr>
              <w:spacing w:before="60" w:after="60" w:line="240" w:lineRule="auto"/>
              <w:jc w:val="both"/>
            </w:pPr>
            <w:r>
              <w:rPr>
                <w:rFonts w:ascii="Century Gothic" w:hAnsi="Century Gothic" w:cs="Century Gothic" w:eastAsia="Century Gothic"/>
                <w:b w:val="0"/>
                <w:i w:val="0"/>
                <w:sz w:val="20"/>
              </w:rPr>
              <w:t>▪ El inventario de convenios vigentes no está disponible; debe elaborarse con el Decanato y la Secretaría General (Formulario 1).</w:t>
            </w:r>
          </w:p>
          <w:p>
            <w:pPr>
              <w:spacing w:before="60" w:after="60" w:line="240" w:lineRule="auto"/>
              <w:jc w:val="both"/>
            </w:pPr>
            <w:r>
              <w:rPr>
                <w:rFonts w:ascii="Century Gothic" w:hAnsi="Century Gothic" w:cs="Century Gothic" w:eastAsia="Century Gothic"/>
                <w:b w:val="0"/>
                <w:i w:val="0"/>
                <w:sz w:val="20"/>
              </w:rPr>
              <w:t>▪ Confirmar con el Centro de Cómputo si el Monoblock Central tiene 36 puestos o 39 computadoras.</w:t>
            </w:r>
          </w:p>
        </w:tc>
      </w:tr>
    </w:tbl>
    <w:p>
      <w:pPr>
        <w:spacing w:before="0" w:after="120" w:line="240" w:lineRule="auto"/>
        <w:jc w:val="left"/>
      </w:pPr>
    </w:p>
    <w:p>
      <w:r>
        <w:br w:type="page"/>
      </w:r>
    </w:p>
    <w:p>
      <w:pPr>
        <w:keepNext/>
        <w:spacing w:before="160" w:after="200" w:line="240" w:lineRule="auto"/>
        <w:jc w:val="left"/>
      </w:pPr>
      <w:r>
        <w:rPr>
          <w:rFonts w:ascii="Century Gothic" w:hAnsi="Century Gothic" w:cs="Century Gothic" w:eastAsia="Century Gothic"/>
          <w:b/>
          <w:i w:val="0"/>
          <w:sz w:val="24"/>
        </w:rPr>
        <w:t>Recomendación 3. Sistema de evaluación de las 43 asignaturas</w:t>
      </w:r>
    </w:p>
    <w:p>
      <w:pPr>
        <w:keepNext/>
        <w:spacing w:before="40" w:after="200" w:line="240" w:lineRule="auto"/>
        <w:jc w:val="left"/>
      </w:pPr>
      <w:r>
        <w:rPr>
          <w:rFonts w:ascii="Century Gothic" w:hAnsi="Century Gothic" w:cs="Century Gothic" w:eastAsia="Century Gothic"/>
          <w:b/>
          <w:i w:val="0"/>
          <w:sz w:val="22"/>
        </w:rPr>
        <w:t>Punto 4.7.4, párrafo nuevo después de «Distribución del puntaje»</w:t>
      </w:r>
    </w:p>
    <w:p>
      <w:pPr>
        <w:spacing w:before="0" w:after="200" w:line="240" w:lineRule="auto"/>
        <w:jc w:val="both"/>
      </w:pPr>
      <w:r>
        <w:rPr>
          <w:rFonts w:ascii="Century Gothic" w:hAnsi="Century Gothic" w:cs="Century Gothic" w:eastAsia="Century Gothic"/>
          <w:b w:val="0"/>
          <w:i w:val="0"/>
          <w:sz w:val="20"/>
        </w:rPr>
        <w:t>Sistema de evaluación común: las 43 asignaturas aplican el mismo sistema de evaluación, que comprende la escala de 1 a 100 puntos; la calificación de cada elemento de competencia mediante sus evidencias de producto, cuyas ponderaciones suman 100 %; la rúbrica de tres niveles de logro para cada producto, Insuficiente (1 a 50), Suficiente (51 a 80) y Destacado (81 a 100); la evaluación diagnóstica, formativa y sumativa; y la nota mínima de aprobación de 51 puntos. La cantidad de elementos de competencia y el peso de cada producto se definen en cada plan según la naturaleza de la asignatura, conforme al Cuadro 3.</w:t>
      </w:r>
    </w:p>
    <w:p>
      <w:pPr>
        <w:keepNext/>
        <w:spacing w:before="40" w:after="80" w:line="240" w:lineRule="auto"/>
        <w:jc w:val="center"/>
      </w:pPr>
      <w:r>
        <w:rPr>
          <w:rFonts w:ascii="Century Gothic" w:hAnsi="Century Gothic" w:cs="Century Gothic" w:eastAsia="Century Gothic"/>
          <w:b/>
          <w:i w:val="0"/>
          <w:sz w:val="20"/>
        </w:rPr>
        <w:t>Cuadro 3. Sistema de evaluación por asignatura</w:t>
      </w:r>
    </w:p>
    <w:tbl>
      <w:tblPr>
        <w:tblW w:type="auto" w:w="0"/>
        <w:jc w:val="center"/>
        <w:tblLayout w:type="fixed"/>
        <w:tblLook w:firstColumn="1" w:firstRow="1" w:lastColumn="0" w:lastRow="0" w:noHBand="0" w:noVBand="1" w:val="04A0"/>
      </w:tblPr>
      <w:tblGrid>
        <w:gridCol w:w="1247"/>
        <w:gridCol w:w="1361"/>
        <w:gridCol w:w="1361"/>
        <w:gridCol w:w="1587"/>
        <w:gridCol w:w="1020"/>
        <w:gridCol w:w="1247"/>
        <w:gridCol w:w="1247"/>
      </w:tblGrid>
      <w:tr>
        <w:trPr>
          <w:tblHeader/>
        </w:trPr>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Sigla</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Elementos de competencia</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Evidencias de producto</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Peso por producto</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Escala</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Rúbrica</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Nota mínima</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7 %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8 % a 21 %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ADM-101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8 % a 17 %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12 %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7 %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ECO-101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12 %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10 %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8 %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1 % a 4 %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9</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1 % a 5 %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CPA-203</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14 %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5 % a 12 %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ADM-201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5 % a 10 %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DER-201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7 %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ECO-201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7 %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MAT-201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5 %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8 %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5 % a 9 %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CPA-303</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10 %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10 %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8 %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ADM-301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5 %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ECO-301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11 %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MAT-301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6 %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4 %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14 %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CPA-403</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6 % a 10 %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8 %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1 % a 11 %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8 %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CPA-407</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1 % a 9 %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CPA-408</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10 %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MAT-401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5 % a 5 %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10 %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10 %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CPA-503</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6 % a 12 %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6 %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8 %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7 % a 9 %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CPA-507</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9 %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CPA-508</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9 %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CPA-509</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4 % a 7 %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CPA-510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12 %</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bl>
    <w:p>
      <w:pPr>
        <w:spacing w:before="40" w:after="200" w:line="240" w:lineRule="auto"/>
        <w:jc w:val="left"/>
      </w:pPr>
      <w:r>
        <w:rPr>
          <w:rFonts w:ascii="Century Gothic" w:hAnsi="Century Gothic" w:cs="Century Gothic" w:eastAsia="Century Gothic"/>
          <w:b w:val="0"/>
          <w:i w:val="0"/>
          <w:sz w:val="16"/>
        </w:rPr>
        <w:t>Fuente: planes de asignatura del punto 4.5.</w:t>
      </w:r>
    </w:p>
    <w:p>
      <w:pPr>
        <w:keepNext/>
        <w:spacing w:before="40" w:after="80" w:line="240" w:lineRule="auto"/>
        <w:jc w:val="center"/>
      </w:pPr>
      <w:r>
        <w:rPr>
          <w:rFonts w:ascii="Century Gothic" w:hAnsi="Century Gothic" w:cs="Century Gothic" w:eastAsia="Century Gothic"/>
          <w:b/>
          <w:i w:val="0"/>
          <w:sz w:val="20"/>
        </w:rPr>
        <w:t>Ajustes en otros puntos</w:t>
      </w:r>
    </w:p>
    <w:tbl>
      <w:tblPr>
        <w:tblW w:type="auto" w:w="0"/>
        <w:jc w:val="center"/>
        <w:tblLayout w:type="fixed"/>
        <w:tblLook w:firstColumn="1" w:firstRow="1" w:lastColumn="0" w:lastRow="0" w:noHBand="0" w:noVBand="1" w:val="04A0"/>
      </w:tblPr>
      <w:tblGrid>
        <w:gridCol w:w="1701"/>
        <w:gridCol w:w="7370"/>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737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Texto a incorporar</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4.5, plan CPA-504, Criterios de calificación</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Nota mínima de aprobación: 51/100.</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4.5, plan CPA-508, Criterios de calificación</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Nota mínima de aprobación: 51/100.</w:t>
            </w:r>
          </w:p>
        </w:tc>
      </w:tr>
    </w:tbl>
    <w:p>
      <w:pPr>
        <w:spacing w:before="0" w:after="120" w:line="240" w:lineRule="auto"/>
        <w:jc w:val="left"/>
      </w:pP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Nota para la Comisión (no se adjunta):</w:t>
            </w:r>
          </w:p>
          <w:p>
            <w:pPr>
              <w:spacing w:before="60" w:after="60" w:line="240" w:lineRule="auto"/>
              <w:jc w:val="both"/>
            </w:pPr>
            <w:r>
              <w:rPr>
                <w:rFonts w:ascii="Century Gothic" w:hAnsi="Century Gothic" w:cs="Century Gothic" w:eastAsia="Century Gothic"/>
                <w:b w:val="0"/>
                <w:i w:val="0"/>
                <w:sz w:val="20"/>
              </w:rPr>
              <w:t>▪ En la revisión de los 43 planes, la escala, la rúbrica de tres niveles, las ponderaciones que suman 100 % y la evaluación diagnóstica, formativa y sumativa ya son comunes. Solo CPA-504 y CPA-508 no escriben la nota mínima.</w:t>
            </w:r>
          </w:p>
          <w:p>
            <w:pPr>
              <w:spacing w:before="60" w:after="60" w:line="240" w:lineRule="auto"/>
              <w:jc w:val="both"/>
            </w:pPr>
            <w:r>
              <w:rPr>
                <w:rFonts w:ascii="Century Gothic" w:hAnsi="Century Gothic" w:cs="Century Gothic" w:eastAsia="Century Gothic"/>
                <w:b w:val="0"/>
                <w:i w:val="0"/>
                <w:sz w:val="20"/>
              </w:rPr>
              <w:t>▪ Varían la cantidad de elementos de competencia (de 2 a 10), de productos (de 8 a 40) y el peso por producto (de 1 % a 21 %). Como los planes se trabajaron con los docentes, se sugiere tratar en la complementación curricular anual: un rango de elementos según los créditos, un peso mínimo y máximo por producto, y la revisión de CPA-402, que tiene 28 productos para 6 elementos.</w:t>
            </w:r>
          </w:p>
        </w:tc>
      </w:tr>
    </w:tbl>
    <w:p>
      <w:pPr>
        <w:spacing w:before="0" w:after="120" w:line="240" w:lineRule="auto"/>
        <w:jc w:val="left"/>
      </w:pPr>
    </w:p>
    <w:p>
      <w:r>
        <w:br w:type="page"/>
      </w:r>
    </w:p>
    <w:p>
      <w:pPr>
        <w:keepNext/>
        <w:spacing w:before="160" w:after="200" w:line="240" w:lineRule="auto"/>
        <w:jc w:val="left"/>
      </w:pPr>
      <w:r>
        <w:rPr>
          <w:rFonts w:ascii="Century Gothic" w:hAnsi="Century Gothic" w:cs="Century Gothic" w:eastAsia="Century Gothic"/>
          <w:b/>
          <w:i w:val="0"/>
          <w:sz w:val="24"/>
        </w:rPr>
        <w:t>Recomendación 4. Clasificación de las asignaturas y unidades horarias</w:t>
      </w:r>
    </w:p>
    <w:p>
      <w:pPr>
        <w:keepNext/>
        <w:spacing w:before="40" w:after="200" w:line="240" w:lineRule="auto"/>
        <w:jc w:val="left"/>
      </w:pPr>
      <w:r>
        <w:rPr>
          <w:rFonts w:ascii="Century Gothic" w:hAnsi="Century Gothic" w:cs="Century Gothic" w:eastAsia="Century Gothic"/>
          <w:b/>
          <w:i w:val="0"/>
          <w:sz w:val="22"/>
        </w:rPr>
        <w:t>Punto 4.4.1, cuadro nuevo después del Cuadro 1</w:t>
      </w:r>
    </w:p>
    <w:p>
      <w:pPr>
        <w:keepNext/>
        <w:spacing w:before="40" w:after="80" w:line="240" w:lineRule="auto"/>
        <w:jc w:val="center"/>
      </w:pPr>
      <w:r>
        <w:rPr>
          <w:rFonts w:ascii="Century Gothic" w:hAnsi="Century Gothic" w:cs="Century Gothic" w:eastAsia="Century Gothic"/>
          <w:b/>
          <w:i w:val="0"/>
          <w:sz w:val="20"/>
        </w:rPr>
        <w:t>Cuadro 2. Clasificación de las asignaturas</w:t>
      </w:r>
    </w:p>
    <w:tbl>
      <w:tblPr>
        <w:tblW w:type="auto" w:w="0"/>
        <w:jc w:val="center"/>
        <w:tblLayout w:type="fixed"/>
        <w:tblLook w:firstColumn="1" w:firstRow="1" w:lastColumn="0" w:lastRow="0" w:noHBand="0" w:noVBand="1" w:val="04A0"/>
      </w:tblPr>
      <w:tblGrid>
        <w:gridCol w:w="1077"/>
        <w:gridCol w:w="2098"/>
        <w:gridCol w:w="567"/>
        <w:gridCol w:w="1134"/>
        <w:gridCol w:w="1474"/>
        <w:gridCol w:w="1247"/>
        <w:gridCol w:w="510"/>
        <w:gridCol w:w="510"/>
        <w:gridCol w:w="680"/>
      </w:tblGrid>
      <w:tr>
        <w:trPr>
          <w:tblHeader/>
        </w:trPr>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Sigla</w:t>
            </w:r>
          </w:p>
        </w:tc>
        <w:tc>
          <w:tcPr>
            <w:tcW w:type="dxa" w:w="209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Asignatura</w:t>
            </w:r>
          </w:p>
        </w:tc>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Año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Ciclo</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Área</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HP</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HT</w:t>
            </w:r>
          </w:p>
        </w:tc>
        <w:tc>
          <w:tcPr>
            <w:tcW w:type="dxa" w:w="68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Créd.</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Básica</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270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9</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CPA-102</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Tecnologías de Información y Herramientas Digitales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150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ADM-101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Administración General</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Administración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270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9</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Derecho Comercial y Corporativo</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Derecho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150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DER-102</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Derecho Laboral y Seguridad Social</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Derecho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150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ECO-101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Microeconomía</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Economía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270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9</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Cálculo</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Matemáticas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270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9</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MAT-102</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Matemáticas Financieras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Matemáticas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270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9</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Intermedia</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CPA-202</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de Sociedades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CPA-203</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de Tributos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CPA-204</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Métodos y Técnicas de Investigación</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ADM-201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Administración de Sistemas Gerenciales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Administración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DER-201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Derecho Tributario y Legislación Aduanera</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Derecho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ECO-201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Macroeconomía</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Economía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MAT-201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Álgebra Lineal y Modelación para Negocios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Matemáticas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Internacional</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CPA-302</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de Costos y Gestión</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CPA-303</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de Bancos y Entidades Financieras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CPA-304</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Presupuesto y Contabilidad Gubernamental</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CPA-305</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Sistemas Contables ERP y Análisis de Datos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210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ADM-301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Desarrollo Organizacional y Comportamiento Organizacional</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Administración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210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ECO-301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Preparación y Evaluación de Proyectos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Economía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210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MAT-301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Estadística</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Matemáticas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210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Minera y Petrolera</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210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CPA-402</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Agrícola y Ganadera</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210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CPA-403</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de Seguros: Privado y Público</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210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CPA-404</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Diseño e Implantación de Sistemas de Contabilidad</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210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CPA-405</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Finanzas Corporativas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210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CPA-406</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Ética e Independencia Profesional</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150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CPA-407</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Financiera</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CPA-408</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Interna, Control Interno, Gestión de Riesgos y Gobierno Corporativo</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MAT-401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Matemáticas Actuariales y Técnicas Financieras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Matemáticas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CPA-501</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Operativa</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CPA-502</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Gabinete de Auditoría Financiera</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CPA-503</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Tributaria</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CPA-504</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Gubernamental</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CPA-505</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Digital, Ciberseguridad y Tecnologías Emergentes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CPA-506</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Reportes y Aseguramiento de Sostenibilidad y Auditoría Ambiental</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CPA-507</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de Entidades Sin Fines de Lucro – Proyectos Privados y Públicos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CPA-508</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Forense y Prevención de Delitos Económicos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CPA-509</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de Entidades Financieras y Servicios Relacionados</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CPA-510</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Taller de Grado</w:t>
            </w:r>
          </w:p>
        </w:tc>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120</w:t>
            </w:r>
          </w:p>
        </w:tc>
        <w:tc>
          <w:tcPr>
            <w:tcW w:type="dxa" w:w="6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bl>
    <w:p>
      <w:pPr>
        <w:spacing w:before="40" w:after="200" w:line="240" w:lineRule="auto"/>
        <w:jc w:val="left"/>
      </w:pPr>
      <w:r>
        <w:rPr>
          <w:rFonts w:ascii="Century Gothic" w:hAnsi="Century Gothic" w:cs="Century Gothic" w:eastAsia="Century Gothic"/>
          <w:b w:val="0"/>
          <w:i w:val="0"/>
          <w:sz w:val="16"/>
        </w:rPr>
        <w:t>Fuente: puntos 4.3.5, 4.4.1, 4.4.3 y 5.3.4. Las 43 asignaturas son obligatorias. Tipo: teóricas, las habilitadas para mesa de examen en el punto 5.3.4. HP: horas académicas presenciales por año. HT: horas de trabajo.</w:t>
      </w:r>
    </w:p>
    <w:p>
      <w:pPr>
        <w:keepNext/>
        <w:spacing w:before="40" w:after="80" w:line="240" w:lineRule="auto"/>
        <w:jc w:val="center"/>
      </w:pPr>
      <w:r>
        <w:rPr>
          <w:rFonts w:ascii="Century Gothic" w:hAnsi="Century Gothic" w:cs="Century Gothic" w:eastAsia="Century Gothic"/>
          <w:b/>
          <w:i w:val="0"/>
          <w:sz w:val="20"/>
        </w:rPr>
        <w:t>Ajustes en otros puntos</w:t>
      </w:r>
    </w:p>
    <w:tbl>
      <w:tblPr>
        <w:tblW w:type="auto" w:w="0"/>
        <w:jc w:val="center"/>
        <w:tblLayout w:type="fixed"/>
        <w:tblLook w:firstColumn="1" w:firstRow="1" w:lastColumn="0" w:lastRow="0" w:noHBand="0" w:noVBand="1" w:val="04A0"/>
      </w:tblPr>
      <w:tblGrid>
        <w:gridCol w:w="1701"/>
        <w:gridCol w:w="7370"/>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737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Texto a incorporar</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4.5, campo «Nivel/Área» de los 43 planes</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Área. En las 13 asignaturas de aseguramiento: «Servicios de Aseguramiento».</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13.1.3, Alcance por áreas</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…y para las asignaturas de Información Financiera y de Servicios de Aseguramiento con una carga horaria igual o menor a 80 horas anuales…</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8.5, primera oración</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El plan aplica el Sistema de Créditos Académicos de la UMSA, desarrollado en los puntos 4.4.4 y 8.5.</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4.3.5, Atención a la población estudiantil trabajadora</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…registran que el 48,9 % de los estudiantes inscritos realiza actividad laboral remunerada (1.589 estudiantes)…</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4.4.1, Cuadro 1 y siguientes</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Los cuadros del punto 4.4 a partir del actual Cuadro 2 se renumeran.</w:t>
            </w:r>
          </w:p>
        </w:tc>
      </w:tr>
    </w:tbl>
    <w:p>
      <w:pPr>
        <w:spacing w:before="0" w:after="120" w:line="240" w:lineRule="auto"/>
        <w:jc w:val="left"/>
      </w:pP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Nota para la Comisión (no se adjunta):</w:t>
            </w:r>
          </w:p>
          <w:p>
            <w:pPr>
              <w:spacing w:before="60" w:after="60" w:line="240" w:lineRule="auto"/>
              <w:jc w:val="both"/>
            </w:pPr>
            <w:r>
              <w:rPr>
                <w:rFonts w:ascii="Century Gothic" w:hAnsi="Century Gothic" w:cs="Century Gothic" w:eastAsia="Century Gothic"/>
                <w:b w:val="0"/>
                <w:i w:val="0"/>
                <w:sz w:val="20"/>
              </w:rPr>
              <w:t>▪ Los 43 planes coinciden con la malla del punto 4.4.3 en horas, créditos, prerrequisitos y nombres, y las horas por área coinciden con el Cuadro 1 del punto 4.4.1.</w:t>
            </w:r>
          </w:p>
          <w:p>
            <w:pPr>
              <w:spacing w:before="60" w:after="60" w:line="240" w:lineRule="auto"/>
              <w:jc w:val="both"/>
            </w:pPr>
            <w:r>
              <w:rPr>
                <w:rFonts w:ascii="Century Gothic" w:hAnsi="Century Gothic" w:cs="Century Gothic" w:eastAsia="Century Gothic"/>
                <w:b w:val="0"/>
                <w:i w:val="0"/>
                <w:sz w:val="20"/>
              </w:rPr>
              <w:t>▪ Unidades horarias, decisión pendiente: los puntos 4.4.4, 8.3 y 8.5 suman horas académicas de 45 minutos (6.000) con horas cronológicas no presenciales (3.000) para obtener 9.000 horas y 300 créditos. Opciones: (A) declarar que, para el cómputo de créditos, la hora académica presencial cuenta como hora de trabajo, si la Resolución HCU N.º 351/2021 lo permite; (B) convertir a 4.500 horas cronológicas, lo que cambia el total a 7.500 horas y 250 créditos; (C) agregar en 4.4.4 el criterio que asigna 7, 8 o 9 créditos a asignaturas con 160 horas presenciales.</w:t>
            </w:r>
          </w:p>
          <w:p>
            <w:pPr>
              <w:spacing w:before="60" w:after="60" w:line="240" w:lineRule="auto"/>
              <w:jc w:val="both"/>
            </w:pPr>
            <w:r>
              <w:rPr>
                <w:rFonts w:ascii="Century Gothic" w:hAnsi="Century Gothic" w:cs="Century Gothic" w:eastAsia="Century Gothic"/>
                <w:b w:val="0"/>
                <w:i w:val="0"/>
                <w:sz w:val="20"/>
              </w:rPr>
              <w:t>▪ Confirmar el criterio de «Tipo» del Cuadro 2 (teórica o teórico-práctica).</w:t>
            </w:r>
          </w:p>
        </w:tc>
      </w:tr>
    </w:tbl>
    <w:p>
      <w:pPr>
        <w:spacing w:before="0" w:after="120" w:line="240" w:lineRule="auto"/>
        <w:jc w:val="left"/>
      </w:pPr>
    </w:p>
    <w:p>
      <w:r>
        <w:br w:type="page"/>
      </w:r>
    </w:p>
    <w:p>
      <w:pPr>
        <w:keepNext/>
        <w:spacing w:before="160" w:after="200" w:line="240" w:lineRule="auto"/>
        <w:jc w:val="left"/>
      </w:pPr>
      <w:r>
        <w:rPr>
          <w:rFonts w:ascii="Century Gothic" w:hAnsi="Century Gothic" w:cs="Century Gothic" w:eastAsia="Century Gothic"/>
          <w:b/>
          <w:i w:val="0"/>
          <w:sz w:val="24"/>
        </w:rPr>
        <w:t>Recomendación 5. Dimensiones transversales del perfil profesional</w:t>
      </w:r>
    </w:p>
    <w:p>
      <w:pPr>
        <w:keepNext/>
        <w:spacing w:before="40" w:after="200" w:line="240" w:lineRule="auto"/>
        <w:jc w:val="left"/>
      </w:pPr>
      <w:r>
        <w:rPr>
          <w:rFonts w:ascii="Century Gothic" w:hAnsi="Century Gothic" w:cs="Century Gothic" w:eastAsia="Century Gothic"/>
          <w:b/>
          <w:i w:val="0"/>
          <w:sz w:val="22"/>
        </w:rPr>
        <w:t>Punto 4.4.1, párrafo y cuadro nuevos después del cuadro de ejes transversales</w:t>
      </w:r>
    </w:p>
    <w:p>
      <w:pPr>
        <w:spacing w:before="0" w:after="200" w:line="240" w:lineRule="auto"/>
        <w:jc w:val="both"/>
      </w:pPr>
      <w:r>
        <w:rPr>
          <w:rFonts w:ascii="Century Gothic" w:hAnsi="Century Gothic" w:cs="Century Gothic" w:eastAsia="Century Gothic"/>
          <w:b w:val="0"/>
          <w:i w:val="0"/>
          <w:sz w:val="20"/>
        </w:rPr>
        <w:t>La presencia de los ejes transversales en las 43 asignaturas es verificable en sus planes: el eje de transformación digital, mediante los contenidos marcados con «T»; la investigación formativa, mediante las horas de investigación y práctica (HIP) del punto 8.4; y la ética profesional, la sostenibilidad y el inglés técnico, mediante los contenidos y productos que los abordan. El detalle por asignatura es el siguiente:</w:t>
      </w:r>
    </w:p>
    <w:p>
      <w:pPr>
        <w:keepNext/>
        <w:spacing w:before="40" w:after="80" w:line="240" w:lineRule="auto"/>
        <w:jc w:val="center"/>
      </w:pPr>
      <w:r>
        <w:rPr>
          <w:rFonts w:ascii="Century Gothic" w:hAnsi="Century Gothic" w:cs="Century Gothic" w:eastAsia="Century Gothic"/>
          <w:b/>
          <w:i w:val="0"/>
          <w:sz w:val="20"/>
        </w:rPr>
        <w:t>Cuadro 4. Ejes transversales por asignatura</w:t>
      </w:r>
    </w:p>
    <w:tbl>
      <w:tblPr>
        <w:tblW w:type="auto" w:w="0"/>
        <w:jc w:val="center"/>
        <w:tblLayout w:type="fixed"/>
        <w:tblLook w:firstColumn="1" w:firstRow="1" w:lastColumn="0" w:lastRow="0" w:noHBand="0" w:noVBand="1" w:val="04A0"/>
      </w:tblPr>
      <w:tblGrid>
        <w:gridCol w:w="1247"/>
        <w:gridCol w:w="1814"/>
        <w:gridCol w:w="1701"/>
        <w:gridCol w:w="1474"/>
        <w:gridCol w:w="1474"/>
        <w:gridCol w:w="1361"/>
      </w:tblGrid>
      <w:tr>
        <w:trPr>
          <w:tblHeader/>
        </w:trPr>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Sigla</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Contenidos de tecnología e IA («T»)</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Horas de investigación y práctica</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Ética profesional</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Sostenibilidad</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Inglés técnico</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17</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ADM-101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27</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9</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28</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28</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ECO-101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44</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ADM-201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DER-201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ECO-201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MAT-201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15</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ADM-301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ECO-301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MAT-301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17</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46</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CPA-407</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MAT-401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34</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67</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CPA-507</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bl>
    <w:p>
      <w:pPr>
        <w:spacing w:before="40" w:after="200" w:line="240" w:lineRule="auto"/>
        <w:jc w:val="left"/>
      </w:pPr>
      <w:r>
        <w:rPr>
          <w:rFonts w:ascii="Century Gothic" w:hAnsi="Century Gothic" w:cs="Century Gothic" w:eastAsia="Century Gothic"/>
          <w:b w:val="0"/>
          <w:i w:val="0"/>
          <w:sz w:val="16"/>
        </w:rPr>
        <w:t>Fuente: planes de asignatura del punto 4.5. Ética profesional, sostenibilidad e inglés técnico: número de contenidos o productos que los mencionan.</w:t>
      </w:r>
    </w:p>
    <w:p>
      <w:pPr>
        <w:keepNext/>
        <w:spacing w:before="40" w:after="80" w:line="240" w:lineRule="auto"/>
        <w:jc w:val="center"/>
      </w:pPr>
      <w:r>
        <w:rPr>
          <w:rFonts w:ascii="Century Gothic" w:hAnsi="Century Gothic" w:cs="Century Gothic" w:eastAsia="Century Gothic"/>
          <w:b/>
          <w:i w:val="0"/>
          <w:sz w:val="20"/>
        </w:rPr>
        <w:t>Ajustes en otros puntos</w:t>
      </w:r>
    </w:p>
    <w:tbl>
      <w:tblPr>
        <w:tblW w:type="auto" w:w="0"/>
        <w:jc w:val="center"/>
        <w:tblLayout w:type="fixed"/>
        <w:tblLook w:firstColumn="1" w:firstRow="1" w:lastColumn="0" w:lastRow="0" w:noHBand="0" w:noVBand="1" w:val="04A0"/>
      </w:tblPr>
      <w:tblGrid>
        <w:gridCol w:w="1701"/>
        <w:gridCol w:w="7370"/>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737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Texto a incorporar</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12.1.3 o 12.1.5, indicadores nuevos</w:t>
            </w:r>
          </w:p>
        </w:tc>
        <w:tc>
          <w:tcPr>
            <w:tcW w:type="dxa" w:w="7370"/>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Porcentaje de asignaturas que evalúan al menos un producto vinculado a cada eje transversal.</w:t>
            </w:r>
          </w:p>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Horas de investigación y práctica ejecutadas frente a las planificadas.</w:t>
            </w:r>
          </w:p>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Porcentaje de titulados que acreditan el inglés nivel B2.</w:t>
            </w:r>
          </w:p>
        </w:tc>
      </w:tr>
    </w:tbl>
    <w:p>
      <w:pPr>
        <w:spacing w:before="0" w:after="120" w:line="240" w:lineRule="auto"/>
        <w:jc w:val="left"/>
      </w:pP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Nota para la Comisión (no se adjunta):</w:t>
            </w:r>
          </w:p>
          <w:p>
            <w:pPr>
              <w:spacing w:before="60" w:after="60" w:line="240" w:lineRule="auto"/>
              <w:jc w:val="both"/>
            </w:pPr>
            <w:r>
              <w:rPr>
                <w:rFonts w:ascii="Century Gothic" w:hAnsi="Century Gothic" w:cs="Century Gothic" w:eastAsia="Century Gothic"/>
                <w:b w:val="0"/>
                <w:i w:val="0"/>
                <w:sz w:val="20"/>
              </w:rPr>
              <w:t>▪ Los valores de ética, sostenibilidad e inglés del Cuadro 4 se obtuvieron por búsqueda en el texto de los planes; cada docente debe validarlos. Un 0 indica que no se encontró la mención, no que el eje esté ausente.</w:t>
            </w:r>
          </w:p>
          <w:p>
            <w:pPr>
              <w:spacing w:before="60" w:after="60" w:line="240" w:lineRule="auto"/>
              <w:jc w:val="both"/>
            </w:pPr>
            <w:r>
              <w:rPr>
                <w:rFonts w:ascii="Century Gothic" w:hAnsi="Century Gothic" w:cs="Century Gothic" w:eastAsia="Century Gothic"/>
                <w:b w:val="0"/>
                <w:i w:val="0"/>
                <w:sz w:val="20"/>
              </w:rPr>
              <w:t>▪ Sugerencia para la complementación curricular anual: que cada plan indique los ejes que desarrolla y el producto en que los evalúa.</w:t>
            </w:r>
          </w:p>
          <w:p>
            <w:pPr>
              <w:spacing w:before="60" w:after="60" w:line="240" w:lineRule="auto"/>
              <w:jc w:val="both"/>
            </w:pPr>
            <w:r>
              <w:rPr>
                <w:rFonts w:ascii="Century Gothic" w:hAnsi="Century Gothic" w:cs="Century Gothic" w:eastAsia="Century Gothic"/>
                <w:b w:val="0"/>
                <w:i w:val="0"/>
                <w:sz w:val="20"/>
              </w:rPr>
              <w:t>▪ Interacción social: la Carrera no la desarrolla como requisito de egreso ni de asignatura, pero el eje «Investigación formativa e interacción social» del Cuadro 2 del punto 4.4.1 menciona «proyectos de interacción social» en CPA-204 y CPA-510. Conviene revisar esa redacción. Además, el Artículo 12 de la Resolución HCU N.º 032/2025 indica que «los estudiantes deberán cumplir cierta cantidad de horas de interacción social (demostrable)»; la Comisión debe decidir cómo responder a ese criterio.</w:t>
            </w:r>
          </w:p>
        </w:tc>
      </w:tr>
    </w:tbl>
    <w:p>
      <w:pPr>
        <w:spacing w:before="0" w:after="120" w:line="240" w:lineRule="auto"/>
        <w:jc w:val="left"/>
      </w:pP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