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Aspectos Académicos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4.3</w:t>
        <w:tab/>
      </w:r>
      <w:r>
        <w:rPr>
          <w:rFonts w:ascii="Century Gothic" w:hAnsi="Century Gothic" w:cs="Century Gothic" w:eastAsia="Century Gothic"/>
          <w:b/>
          <w:i w:val="0"/>
          <w:sz w:val="24"/>
        </w:rPr>
        <w:t>Plan de estudios propuesto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4.3.1</w:t>
        <w:tab/>
      </w:r>
      <w:r>
        <w:rPr>
          <w:rFonts w:ascii="Century Gothic" w:hAnsi="Century Gothic" w:cs="Century Gothic" w:eastAsia="Century Gothic"/>
          <w:b/>
          <w:i w:val="0"/>
          <w:sz w:val="24"/>
        </w:rPr>
        <w:t>Modelo curricular</w:t>
      </w:r>
    </w:p>
    <w:p>
      <w:pPr>
        <w:spacing w:before="0" w:after="200" w:line="240" w:lineRule="auto"/>
        <w:jc w:val="both"/>
      </w:pPr>
      <w:r>
        <w:rPr>
          <w:rFonts w:ascii="Century Gothic" w:hAnsi="Century Gothic" w:cs="Century Gothic" w:eastAsia="Century Gothic"/>
          <w:b w:val="0"/>
          <w:i w:val="0"/>
          <w:sz w:val="20"/>
        </w:rPr>
        <w:t>El Plan de Estudios propuesto adopta un modelo curricular por competencias, con enfoque socioformativo y de pensamiento complejo, en el que la formación se organiza en torno a desempeños profesionales observables y no a la acumulación de contenidos. Este modelo cumple el criterio específico de calidad del Art. 12 de la Resolución HCU 032/2025, según el cual el plan de estudios propuesto “debe sustentarse en un modelo curricular coherente con el modelo educativo de la UMSA”.</w:t>
      </w:r>
    </w:p>
    <w:p>
      <w:pPr>
        <w:spacing w:before="0" w:after="200" w:line="240" w:lineRule="auto"/>
        <w:jc w:val="both"/>
      </w:pPr>
      <w:r>
        <w:rPr>
          <w:rFonts w:ascii="Century Gothic" w:hAnsi="Century Gothic" w:cs="Century Gothic" w:eastAsia="Century Gothic"/>
          <w:b/>
          <w:i w:val="0"/>
          <w:sz w:val="20"/>
        </w:rPr>
        <w:t>Fundamento normativo.</w:t>
      </w:r>
      <w:r>
        <w:rPr>
          <w:rFonts w:ascii="Century Gothic" w:hAnsi="Century Gothic" w:cs="Century Gothic" w:eastAsia="Century Gothic"/>
          <w:b w:val="0"/>
          <w:i w:val="0"/>
          <w:sz w:val="20"/>
        </w:rPr>
        <w:t xml:space="preserve"> El modelo responde a cuatro referentes complementarios:</w:t>
      </w:r>
    </w:p>
    <w:p>
      <w:pPr>
        <w:numPr>
          <w:ilvl w:val="0"/>
          <w:numId w:val="901"/>
        </w:numPr>
        <w:spacing w:before="0" w:after="160" w:line="240" w:lineRule="auto"/>
        <w:jc w:val="both"/>
      </w:pPr>
      <w:r>
        <w:rPr>
          <w:rFonts w:ascii="Century Gothic" w:hAnsi="Century Gothic" w:cs="Century Gothic" w:eastAsia="Century Gothic"/>
          <w:b w:val="0"/>
          <w:i w:val="0"/>
          <w:sz w:val="20"/>
        </w:rPr>
        <w:t>El Reglamento de Innovación Curricular de la UMSA (Res. HCU 032/2025), que define el rediseño como la reformulación del perfil de egreso a partir del análisis del contexto y del mercado laboral (Art. 5) y fija los criterios de calidad para la evaluación ex ante (Arts. 11 y 12).</w:t>
      </w:r>
    </w:p>
    <w:p>
      <w:pPr>
        <w:numPr>
          <w:ilvl w:val="0"/>
          <w:numId w:val="901"/>
        </w:numPr>
        <w:spacing w:before="0" w:after="160" w:line="240" w:lineRule="auto"/>
        <w:jc w:val="both"/>
      </w:pPr>
      <w:r>
        <w:rPr>
          <w:rFonts w:ascii="Century Gothic" w:hAnsi="Century Gothic" w:cs="Century Gothic" w:eastAsia="Century Gothic"/>
          <w:b w:val="0"/>
          <w:i w:val="0"/>
          <w:sz w:val="20"/>
        </w:rPr>
        <w:t>Los lineamientos del Sistema de la Universidad Boliviana, que establecen que el currículo debe expresarse por competencias, y las conclusiones de la III-XIII Reunión Sectorial de Carreras de Contaduría Pública (Trinidad, mayo de 2024), ratificadas por la Resolución N.º 07/2024 de la VI Conferencia Nacional Ordinaria de Universidades. Estas conclusiones aprueban el perfil del Contador Público Autorizado (CPA) y el enfoque por competencias para todas las Carreras del sistema.</w:t>
      </w:r>
    </w:p>
    <w:p>
      <w:pPr>
        <w:numPr>
          <w:ilvl w:val="0"/>
          <w:numId w:val="901"/>
        </w:numPr>
        <w:spacing w:before="0" w:after="160" w:line="240" w:lineRule="auto"/>
        <w:jc w:val="both"/>
      </w:pPr>
      <w:r>
        <w:rPr>
          <w:rFonts w:ascii="Century Gothic" w:hAnsi="Century Gothic" w:cs="Century Gothic" w:eastAsia="Century Gothic"/>
          <w:b w:val="0"/>
          <w:i w:val="0"/>
          <w:sz w:val="20"/>
        </w:rPr>
        <w:t>Las Normas Internacionales de Educación (IES) de la Federación Internacional de Contadores (IFAC), en su versión revisada vigente desde el 1 de julio de 2026, que definen la competencia profesional como la integración de competencia técnica (IES 2), habilidades profesionales (IES 3) y valores, ética y actitudes profesionales (IES 4).</w:t>
      </w:r>
    </w:p>
    <w:p>
      <w:pPr>
        <w:numPr>
          <w:ilvl w:val="0"/>
          <w:numId w:val="901"/>
        </w:numPr>
        <w:spacing w:before="0" w:after="200" w:line="240" w:lineRule="auto"/>
        <w:jc w:val="both"/>
      </w:pPr>
      <w:r>
        <w:rPr>
          <w:rFonts w:ascii="Century Gothic" w:hAnsi="Century Gothic" w:cs="Century Gothic" w:eastAsia="Century Gothic"/>
          <w:b w:val="0"/>
          <w:i w:val="0"/>
          <w:sz w:val="20"/>
        </w:rPr>
        <w:t>La resolución del Honorable Consejo Facultativo N.º 1126/2026, de 10 de septiembre de 2026, que aprueba el proceso de rediseño curricular de la Carrera.</w:t>
      </w:r>
    </w:p>
    <w:p>
      <w:pPr>
        <w:spacing w:before="0" w:after="200" w:line="240" w:lineRule="auto"/>
        <w:jc w:val="both"/>
      </w:pPr>
      <w:r>
        <w:rPr>
          <w:rFonts w:ascii="Century Gothic" w:hAnsi="Century Gothic" w:cs="Century Gothic" w:eastAsia="Century Gothic"/>
          <w:b/>
          <w:i w:val="0"/>
          <w:sz w:val="20"/>
        </w:rPr>
        <w:t>Concepto de competencia.</w:t>
      </w:r>
      <w:r>
        <w:rPr>
          <w:rFonts w:ascii="Century Gothic" w:hAnsi="Century Gothic" w:cs="Century Gothic" w:eastAsia="Century Gothic"/>
          <w:b w:val="0"/>
          <w:i w:val="0"/>
          <w:sz w:val="20"/>
        </w:rPr>
        <w:t xml:space="preserve"> Se asume la definición adoptada por el Sistema de la Universidad Boliviana en la I-XII Reunión Académica Nacional (Pando, 2014): la competencia es “un proceso complejo de desempeño con idoneidad y responsabilidad social, que moviliza, combina y transfiere con efectividad un conjunto integrado de recursos internos (conocimientos, habilidades, actitudes) y externos (información, recursos tecnológicos y otros) para resolver problemas en la vida cotidiana, laboral-profesional en un contexto intercultural y pluralismo epistémico, aportando a la construcción y transformación de la realidad” (I-XII RAN, pp. 37-38). Esta definición es coherente con la de IFAC, para la cual la competencia profesional es la capacidad de desempeñar un rol conforme a un estándar definido.</w:t>
      </w:r>
    </w:p>
    <w:p>
      <w:pPr>
        <w:spacing w:before="0" w:after="200" w:line="240" w:lineRule="auto"/>
        <w:jc w:val="both"/>
      </w:pPr>
      <w:r>
        <w:rPr>
          <w:rFonts w:ascii="Century Gothic" w:hAnsi="Century Gothic" w:cs="Century Gothic" w:eastAsia="Century Gothic"/>
          <w:b/>
          <w:i w:val="0"/>
          <w:sz w:val="20"/>
        </w:rPr>
        <w:t>Tipos de competencias.</w:t>
      </w:r>
      <w:r>
        <w:rPr>
          <w:rFonts w:ascii="Century Gothic" w:hAnsi="Century Gothic" w:cs="Century Gothic" w:eastAsia="Century Gothic"/>
          <w:b w:val="0"/>
          <w:i w:val="0"/>
          <w:sz w:val="20"/>
        </w:rPr>
        <w:t xml:space="preserve"> El perfil de egreso se despliega en tres tipos de competencias:</w:t>
      </w:r>
    </w:p>
    <w:p>
      <w:pPr>
        <w:numPr>
          <w:ilvl w:val="0"/>
          <w:numId w:val="902"/>
        </w:numPr>
        <w:spacing w:before="0" w:after="160" w:line="240" w:lineRule="auto"/>
        <w:jc w:val="both"/>
      </w:pPr>
      <w:r>
        <w:rPr>
          <w:rFonts w:ascii="Century Gothic" w:hAnsi="Century Gothic" w:cs="Century Gothic" w:eastAsia="Century Gothic"/>
          <w:b/>
          <w:i w:val="0"/>
          <w:sz w:val="20"/>
        </w:rPr>
        <w:t>Competencias específicas:</w:t>
      </w:r>
      <w:r>
        <w:rPr>
          <w:rFonts w:ascii="Century Gothic" w:hAnsi="Century Gothic" w:cs="Century Gothic" w:eastAsia="Century Gothic"/>
          <w:b w:val="0"/>
          <w:i w:val="0"/>
          <w:sz w:val="20"/>
        </w:rPr>
        <w:t xml:space="preserve"> propias del ejercicio de la Contaduría Pública: preparación y presentación de información financiera y de sostenibilidad, servicios de aseguramiento y servicios distintos del aseguramiento, en los sectores público y privado.</w:t>
      </w:r>
    </w:p>
    <w:p>
      <w:pPr>
        <w:numPr>
          <w:ilvl w:val="0"/>
          <w:numId w:val="902"/>
        </w:numPr>
        <w:spacing w:before="0" w:after="160" w:line="240" w:lineRule="auto"/>
        <w:jc w:val="both"/>
      </w:pPr>
      <w:r>
        <w:rPr>
          <w:rFonts w:ascii="Century Gothic" w:hAnsi="Century Gothic" w:cs="Century Gothic" w:eastAsia="Century Gothic"/>
          <w:b/>
          <w:i w:val="0"/>
          <w:sz w:val="20"/>
        </w:rPr>
        <w:t>Competencias genéricas o transversales</w:t>
      </w:r>
      <w:r>
        <w:rPr>
          <w:rFonts w:ascii="Century Gothic" w:hAnsi="Century Gothic" w:cs="Century Gothic" w:eastAsia="Century Gothic"/>
          <w:b w:val="0"/>
          <w:i w:val="0"/>
          <w:sz w:val="20"/>
        </w:rPr>
        <w:t>, comunes a toda formación universitaria: pensamiento crítico, comunicación oral y escrita, trabajo en equipo, investigación, uso de tecnologías y aprendizaje autónomo (Tuning América Latina, 2007).</w:t>
      </w:r>
    </w:p>
    <w:p>
      <w:pPr>
        <w:numPr>
          <w:ilvl w:val="0"/>
          <w:numId w:val="902"/>
        </w:numPr>
        <w:spacing w:before="0" w:after="200" w:line="240" w:lineRule="auto"/>
        <w:jc w:val="both"/>
      </w:pPr>
      <w:r>
        <w:rPr>
          <w:rFonts w:ascii="Century Gothic" w:hAnsi="Century Gothic" w:cs="Century Gothic" w:eastAsia="Century Gothic"/>
          <w:b/>
          <w:i w:val="0"/>
          <w:sz w:val="20"/>
        </w:rPr>
        <w:t>Competencias básicas</w:t>
      </w:r>
      <w:r>
        <w:rPr>
          <w:rFonts w:ascii="Century Gothic" w:hAnsi="Century Gothic" w:cs="Century Gothic" w:eastAsia="Century Gothic"/>
          <w:b w:val="0"/>
          <w:i w:val="0"/>
          <w:sz w:val="20"/>
        </w:rPr>
        <w:t>, que dan los fundamentos matemáticos, económicos, jurídicos y administrativos sobre los que se construye la formación profesional.</w:t>
      </w:r>
    </w:p>
    <w:p>
      <w:pPr>
        <w:spacing w:before="0" w:after="200" w:line="240" w:lineRule="auto"/>
        <w:jc w:val="both"/>
      </w:pPr>
      <w:r>
        <w:rPr>
          <w:rFonts w:ascii="Century Gothic" w:hAnsi="Century Gothic" w:cs="Century Gothic" w:eastAsia="Century Gothic"/>
          <w:b/>
          <w:i w:val="0"/>
          <w:sz w:val="20"/>
        </w:rPr>
        <w:t>Saberes que integra cada competencia.</w:t>
      </w:r>
      <w:r>
        <w:rPr>
          <w:rFonts w:ascii="Century Gothic" w:hAnsi="Century Gothic" w:cs="Century Gothic" w:eastAsia="Century Gothic"/>
          <w:b w:val="0"/>
          <w:i w:val="0"/>
          <w:sz w:val="20"/>
        </w:rPr>
        <w:t xml:space="preserve"> Siguiendo la estructura del perfil profesional aprobado por la Carrera, cada competencia articula el </w:t>
      </w:r>
      <w:r>
        <w:rPr>
          <w:rFonts w:ascii="Century Gothic" w:hAnsi="Century Gothic" w:cs="Century Gothic" w:eastAsia="Century Gothic"/>
          <w:b w:val="0"/>
          <w:i/>
          <w:sz w:val="20"/>
        </w:rPr>
        <w:t>saber conocer</w:t>
      </w:r>
      <w:r>
        <w:rPr>
          <w:rFonts w:ascii="Century Gothic" w:hAnsi="Century Gothic" w:cs="Century Gothic" w:eastAsia="Century Gothic"/>
          <w:b w:val="0"/>
          <w:i w:val="0"/>
          <w:sz w:val="20"/>
        </w:rPr>
        <w:t xml:space="preserve"> (cognitivo), el </w:t>
      </w:r>
      <w:r>
        <w:rPr>
          <w:rFonts w:ascii="Century Gothic" w:hAnsi="Century Gothic" w:cs="Century Gothic" w:eastAsia="Century Gothic"/>
          <w:b w:val="0"/>
          <w:i/>
          <w:sz w:val="20"/>
        </w:rPr>
        <w:t>saber hacer</w:t>
      </w:r>
      <w:r>
        <w:rPr>
          <w:rFonts w:ascii="Century Gothic" w:hAnsi="Century Gothic" w:cs="Century Gothic" w:eastAsia="Century Gothic"/>
          <w:b w:val="0"/>
          <w:i w:val="0"/>
          <w:sz w:val="20"/>
        </w:rPr>
        <w:t xml:space="preserve"> (procedimental) y el </w:t>
      </w:r>
      <w:r>
        <w:rPr>
          <w:rFonts w:ascii="Century Gothic" w:hAnsi="Century Gothic" w:cs="Century Gothic" w:eastAsia="Century Gothic"/>
          <w:b w:val="0"/>
          <w:i/>
          <w:sz w:val="20"/>
        </w:rPr>
        <w:t>saber ser y convivir</w:t>
      </w:r>
      <w:r>
        <w:rPr>
          <w:rFonts w:ascii="Century Gothic" w:hAnsi="Century Gothic" w:cs="Century Gothic" w:eastAsia="Century Gothic"/>
          <w:b w:val="0"/>
          <w:i w:val="0"/>
          <w:sz w:val="20"/>
        </w:rPr>
        <w:t xml:space="preserve"> (actitudinal y ético). A estas tres dimensiones se suma, de forma explícita en cada plan de asignatura, el manejo de tecnología e inteligencia artificial, para cerrar la brecha tecnológica del 93 % que identificó el diagnóstico (Ipsos CIESMORI, 2025).</w:t>
      </w:r>
    </w:p>
    <w:p>
      <w:pPr>
        <w:spacing w:before="0" w:after="200" w:line="240" w:lineRule="auto"/>
        <w:jc w:val="both"/>
      </w:pPr>
      <w:r>
        <w:rPr>
          <w:rFonts w:ascii="Century Gothic" w:hAnsi="Century Gothic" w:cs="Century Gothic" w:eastAsia="Century Gothic"/>
          <w:b/>
          <w:i w:val="0"/>
          <w:sz w:val="20"/>
        </w:rPr>
        <w:t>Estructura de desagregación.</w:t>
      </w:r>
      <w:r>
        <w:rPr>
          <w:rFonts w:ascii="Century Gothic" w:hAnsi="Century Gothic" w:cs="Century Gothic" w:eastAsia="Century Gothic"/>
          <w:b w:val="0"/>
          <w:i w:val="0"/>
          <w:sz w:val="20"/>
        </w:rPr>
        <w:t xml:space="preserve"> El modelo se concreta de lo general a lo particular en cinco niveles:</w:t>
      </w:r>
    </w:p>
    <w:p>
      <w:pPr>
        <w:numPr>
          <w:ilvl w:val="0"/>
          <w:numId w:val="903"/>
        </w:numPr>
        <w:spacing w:before="0" w:after="160" w:line="240" w:lineRule="auto"/>
        <w:jc w:val="both"/>
      </w:pPr>
      <w:r>
        <w:rPr>
          <w:rFonts w:ascii="Century Gothic" w:hAnsi="Century Gothic" w:cs="Century Gothic" w:eastAsia="Century Gothic"/>
          <w:b/>
          <w:i w:val="0"/>
          <w:sz w:val="20"/>
        </w:rPr>
        <w:t>Perfil profesional del Contador Público Autorizado</w:t>
      </w:r>
      <w:r>
        <w:rPr>
          <w:rFonts w:ascii="Century Gothic" w:hAnsi="Century Gothic" w:cs="Century Gothic" w:eastAsia="Century Gothic"/>
          <w:b w:val="0"/>
          <w:i w:val="0"/>
          <w:sz w:val="20"/>
        </w:rPr>
        <w:t>, que expresa el desempeño integral esperado del graduado.</w:t>
      </w:r>
    </w:p>
    <w:p>
      <w:pPr>
        <w:numPr>
          <w:ilvl w:val="0"/>
          <w:numId w:val="903"/>
        </w:numPr>
        <w:spacing w:before="0" w:after="160" w:line="240" w:lineRule="auto"/>
        <w:jc w:val="both"/>
      </w:pPr>
      <w:r>
        <w:rPr>
          <w:rFonts w:ascii="Century Gothic" w:hAnsi="Century Gothic" w:cs="Century Gothic" w:eastAsia="Century Gothic"/>
          <w:b/>
          <w:i w:val="0"/>
          <w:sz w:val="20"/>
        </w:rPr>
        <w:t>Competencias de la Carrera</w:t>
      </w:r>
      <w:r>
        <w:rPr>
          <w:rFonts w:ascii="Century Gothic" w:hAnsi="Century Gothic" w:cs="Century Gothic" w:eastAsia="Century Gothic"/>
          <w:b w:val="0"/>
          <w:i w:val="0"/>
          <w:sz w:val="20"/>
        </w:rPr>
        <w:t>, agrupadas por áreas de formación.</w:t>
      </w:r>
    </w:p>
    <w:p>
      <w:pPr>
        <w:numPr>
          <w:ilvl w:val="0"/>
          <w:numId w:val="903"/>
        </w:numPr>
        <w:spacing w:before="0" w:after="160" w:line="240" w:lineRule="auto"/>
        <w:jc w:val="both"/>
      </w:pPr>
      <w:r>
        <w:rPr>
          <w:rFonts w:ascii="Century Gothic" w:hAnsi="Century Gothic" w:cs="Century Gothic" w:eastAsia="Century Gothic"/>
          <w:b/>
          <w:i w:val="0"/>
          <w:sz w:val="20"/>
        </w:rPr>
        <w:t>Unidad de competencia</w:t>
      </w:r>
      <w:r>
        <w:rPr>
          <w:rFonts w:ascii="Century Gothic" w:hAnsi="Century Gothic" w:cs="Century Gothic" w:eastAsia="Century Gothic"/>
          <w:b w:val="0"/>
          <w:i w:val="0"/>
          <w:sz w:val="20"/>
        </w:rPr>
        <w:t xml:space="preserve"> de cada asignatura, que sintetiza el desempeño que el estudiante logra al concluirla.</w:t>
      </w:r>
    </w:p>
    <w:p>
      <w:pPr>
        <w:numPr>
          <w:ilvl w:val="0"/>
          <w:numId w:val="903"/>
        </w:numPr>
        <w:spacing w:before="0" w:after="160" w:line="240" w:lineRule="auto"/>
        <w:jc w:val="both"/>
      </w:pPr>
      <w:r>
        <w:rPr>
          <w:rFonts w:ascii="Century Gothic" w:hAnsi="Century Gothic" w:cs="Century Gothic" w:eastAsia="Century Gothic"/>
          <w:b/>
          <w:i w:val="0"/>
          <w:sz w:val="20"/>
        </w:rPr>
        <w:t>Elementos de competencia</w:t>
      </w:r>
      <w:r>
        <w:rPr>
          <w:rFonts w:ascii="Century Gothic" w:hAnsi="Century Gothic" w:cs="Century Gothic" w:eastAsia="Century Gothic"/>
          <w:b w:val="0"/>
          <w:i w:val="0"/>
          <w:sz w:val="20"/>
        </w:rPr>
        <w:t>, que desagregan la unidad en desempeños evaluables.</w:t>
      </w:r>
    </w:p>
    <w:p>
      <w:pPr>
        <w:numPr>
          <w:ilvl w:val="0"/>
          <w:numId w:val="903"/>
        </w:numPr>
        <w:spacing w:before="0" w:after="200" w:line="240" w:lineRule="auto"/>
        <w:jc w:val="both"/>
      </w:pPr>
      <w:r>
        <w:rPr>
          <w:rFonts w:ascii="Century Gothic" w:hAnsi="Century Gothic" w:cs="Century Gothic" w:eastAsia="Century Gothic"/>
          <w:b/>
          <w:i w:val="0"/>
          <w:sz w:val="20"/>
        </w:rPr>
        <w:t>Itinerario formativo</w:t>
      </w:r>
      <w:r>
        <w:rPr>
          <w:rFonts w:ascii="Century Gothic" w:hAnsi="Century Gothic" w:cs="Century Gothic" w:eastAsia="Century Gothic"/>
          <w:b w:val="0"/>
          <w:i w:val="0"/>
          <w:sz w:val="20"/>
        </w:rPr>
        <w:t>, que para cada elemento fija criterios de desempeño, evidencias de desempeño, de producto y de conocimiento, actividades, estrategias de aprendizaje y de enseñanza, y estrategias de evaluación (Res. HCU 032/2025, Art. 9).</w:t>
      </w:r>
    </w:p>
    <w:p>
      <w:pPr>
        <w:spacing w:before="0" w:after="200" w:line="240" w:lineRule="auto"/>
        <w:jc w:val="both"/>
      </w:pPr>
      <w:r>
        <w:rPr>
          <w:rFonts w:ascii="Century Gothic" w:hAnsi="Century Gothic" w:cs="Century Gothic" w:eastAsia="Century Gothic"/>
          <w:b/>
          <w:i w:val="0"/>
          <w:sz w:val="20"/>
        </w:rPr>
        <w:t>Áreas de formación.</w:t>
      </w:r>
      <w:r>
        <w:rPr>
          <w:rFonts w:ascii="Century Gothic" w:hAnsi="Century Gothic" w:cs="Century Gothic" w:eastAsia="Century Gothic"/>
          <w:b w:val="0"/>
          <w:i w:val="0"/>
          <w:sz w:val="20"/>
        </w:rPr>
        <w:t xml:space="preserve"> Las asignaturas se organizan en áreas que corresponden a los campos de actuación del perfil y a las áreas de competencia técnica de la IES 2:</w:t>
      </w:r>
    </w:p>
    <w:p>
      <w:pPr>
        <w:numPr>
          <w:ilvl w:val="0"/>
          <w:numId w:val="904"/>
        </w:numPr>
        <w:spacing w:before="0" w:after="160" w:line="240" w:lineRule="auto"/>
        <w:jc w:val="both"/>
      </w:pPr>
      <w:r>
        <w:rPr>
          <w:rFonts w:ascii="Century Gothic" w:hAnsi="Century Gothic" w:cs="Century Gothic" w:eastAsia="Century Gothic"/>
          <w:b/>
          <w:i w:val="0"/>
          <w:sz w:val="20"/>
        </w:rPr>
        <w:t>Contabilidad e Información Financiera y de Sostenibilidad</w:t>
      </w:r>
      <w:r>
        <w:rPr>
          <w:rFonts w:ascii="Century Gothic" w:hAnsi="Century Gothic" w:cs="Century Gothic" w:eastAsia="Century Gothic"/>
          <w:b w:val="0"/>
          <w:i w:val="0"/>
          <w:sz w:val="20"/>
        </w:rPr>
        <w:t>: contabilidad financiera, de costos y de gestión, gubernamental, sectorial, NIIF y NIIF de Sostenibilidad.</w:t>
      </w:r>
    </w:p>
    <w:p>
      <w:pPr>
        <w:numPr>
          <w:ilvl w:val="0"/>
          <w:numId w:val="904"/>
        </w:numPr>
        <w:spacing w:before="0" w:after="160" w:line="240" w:lineRule="auto"/>
        <w:jc w:val="both"/>
      </w:pPr>
      <w:r>
        <w:rPr>
          <w:rFonts w:ascii="Century Gothic" w:hAnsi="Century Gothic" w:cs="Century Gothic" w:eastAsia="Century Gothic"/>
          <w:b/>
          <w:i w:val="0"/>
          <w:sz w:val="20"/>
        </w:rPr>
        <w:t>Servicios de Aseguramiento y No Aseguramiento</w:t>
      </w:r>
      <w:r>
        <w:rPr>
          <w:rFonts w:ascii="Century Gothic" w:hAnsi="Century Gothic" w:cs="Century Gothic" w:eastAsia="Century Gothic"/>
          <w:b w:val="0"/>
          <w:i w:val="0"/>
          <w:sz w:val="20"/>
        </w:rPr>
        <w:t>: auditoría financiera, interna, operativa, gubernamental, tributaria, forense, ambiental y de entidades financieras; ética e independencia; control interno y gestión de riesgos.</w:t>
      </w:r>
    </w:p>
    <w:p>
      <w:pPr>
        <w:numPr>
          <w:ilvl w:val="0"/>
          <w:numId w:val="904"/>
        </w:numPr>
        <w:spacing w:before="0" w:after="160" w:line="240" w:lineRule="auto"/>
        <w:jc w:val="both"/>
      </w:pPr>
      <w:r>
        <w:rPr>
          <w:rFonts w:ascii="Century Gothic" w:hAnsi="Century Gothic" w:cs="Century Gothic" w:eastAsia="Century Gothic"/>
          <w:b/>
          <w:i w:val="0"/>
          <w:sz w:val="20"/>
        </w:rPr>
        <w:t>Finanzas y Formación Cuantitativa</w:t>
      </w:r>
      <w:r>
        <w:rPr>
          <w:rFonts w:ascii="Century Gothic" w:hAnsi="Century Gothic" w:cs="Century Gothic" w:eastAsia="Century Gothic"/>
          <w:b w:val="0"/>
          <w:i w:val="0"/>
          <w:sz w:val="20"/>
        </w:rPr>
        <w:t>: matemáticas, estadística, finanzas, análisis financiero, proyectos y presupuestos.</w:t>
      </w:r>
    </w:p>
    <w:p>
      <w:pPr>
        <w:numPr>
          <w:ilvl w:val="0"/>
          <w:numId w:val="904"/>
        </w:numPr>
        <w:spacing w:before="0" w:after="200" w:line="240" w:lineRule="auto"/>
        <w:jc w:val="both"/>
      </w:pPr>
      <w:r>
        <w:rPr>
          <w:rFonts w:ascii="Century Gothic" w:hAnsi="Century Gothic" w:cs="Century Gothic" w:eastAsia="Century Gothic"/>
          <w:b/>
          <w:i w:val="0"/>
          <w:sz w:val="20"/>
        </w:rPr>
        <w:t>Formación Contextual</w:t>
      </w:r>
      <w:r>
        <w:rPr>
          <w:rFonts w:ascii="Century Gothic" w:hAnsi="Century Gothic" w:cs="Century Gothic" w:eastAsia="Century Gothic"/>
          <w:b w:val="0"/>
          <w:i w:val="0"/>
          <w:sz w:val="20"/>
        </w:rPr>
        <w:t>: derecho, economía, administración, tecnologías de la información, investigación e inglés técnico.</w:t>
      </w:r>
    </w:p>
    <w:p>
      <w:pPr>
        <w:spacing w:before="0" w:after="200" w:line="240" w:lineRule="auto"/>
        <w:jc w:val="both"/>
      </w:pPr>
      <w:r>
        <w:rPr>
          <w:rFonts w:ascii="Century Gothic" w:hAnsi="Century Gothic" w:cs="Century Gothic" w:eastAsia="Century Gothic"/>
          <w:b/>
          <w:i w:val="0"/>
          <w:sz w:val="20"/>
        </w:rPr>
        <w:t>Ejes transversales.</w:t>
      </w:r>
      <w:r>
        <w:rPr>
          <w:rFonts w:ascii="Century Gothic" w:hAnsi="Century Gothic" w:cs="Century Gothic" w:eastAsia="Century Gothic"/>
          <w:b w:val="0"/>
          <w:i w:val="0"/>
          <w:sz w:val="20"/>
        </w:rPr>
        <w:t xml:space="preserve"> Cinco ejes atraviesan todas las áreas y años de estudio: (a) ética profesional e interés público, conforme al Código del IESBA; (b) transformación digital, analítica de datos e inteligencia artificial; (c) sostenibilidad y criterios ambientales, sociales y de gobernanza (ASG/ESG); (d) inglés técnico contable; y (e) investigación formativa e interacción social.</w:t>
      </w:r>
    </w:p>
    <w:p>
      <w:pPr>
        <w:spacing w:before="0" w:after="200" w:line="240" w:lineRule="auto"/>
        <w:jc w:val="both"/>
      </w:pPr>
      <w:r>
        <w:rPr>
          <w:rFonts w:ascii="Century Gothic" w:hAnsi="Century Gothic" w:cs="Century Gothic" w:eastAsia="Century Gothic"/>
          <w:b/>
          <w:i w:val="0"/>
          <w:sz w:val="20"/>
        </w:rPr>
        <w:t>Modelo pedagógico y de evaluación.</w:t>
      </w:r>
      <w:r>
        <w:rPr>
          <w:rFonts w:ascii="Century Gothic" w:hAnsi="Century Gothic" w:cs="Century Gothic" w:eastAsia="Century Gothic"/>
          <w:b w:val="0"/>
          <w:i w:val="0"/>
          <w:sz w:val="20"/>
        </w:rPr>
        <w:t xml:space="preserve"> El docente actúa como orientador y facilitador del aprendizaje situado, y el estudiante como constructor activo de su conocimiento. Se privilegian el aprendizaje basado en proyectos y en problemas, el estudio de casos reales, la simulación de firmas de auditoría y consultoría, y los laboratorios con software contable, ERP y de auditoría. La evaluación es auténtica y formativa: se verifica el logro de cada elemento de competencia mediante evidencias de desempeño, de producto y de conocimiento, con rúbricas, portafolios y sustentación de casos.</w:t>
      </w:r>
    </w:p>
    <w:p>
      <w:pPr>
        <w:spacing w:before="0" w:after="200" w:line="240" w:lineRule="auto"/>
        <w:jc w:val="both"/>
      </w:pPr>
      <w:r>
        <w:rPr>
          <w:rFonts w:ascii="Century Gothic" w:hAnsi="Century Gothic" w:cs="Century Gothic" w:eastAsia="Century Gothic"/>
          <w:b/>
          <w:i w:val="0"/>
          <w:sz w:val="20"/>
        </w:rPr>
        <w:t>Vinculación con el medio.</w:t>
      </w:r>
      <w:r>
        <w:rPr>
          <w:rFonts w:ascii="Century Gothic" w:hAnsi="Century Gothic" w:cs="Century Gothic" w:eastAsia="Century Gothic"/>
          <w:b w:val="0"/>
          <w:i w:val="0"/>
          <w:sz w:val="20"/>
        </w:rPr>
        <w:t xml:space="preserve"> El modelo incorpora prácticas preprofesionales supervisadas y proyectos de interacción social, en respuesta a la demanda del 88 % de los estudiantes de prácticas obligatorias desde el tercer año (FODA estudiantil, IICCFA, 2025).</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4.3.2</w:t>
        <w:tab/>
      </w:r>
      <w:r>
        <w:rPr>
          <w:rFonts w:ascii="Century Gothic" w:hAnsi="Century Gothic" w:cs="Century Gothic" w:eastAsia="Century Gothic"/>
          <w:b/>
          <w:i w:val="0"/>
          <w:sz w:val="24"/>
        </w:rPr>
        <w:t>Principios del modelo</w:t>
      </w:r>
    </w:p>
    <w:p>
      <w:pPr>
        <w:spacing w:before="0" w:after="200" w:line="240" w:lineRule="auto"/>
        <w:jc w:val="both"/>
      </w:pPr>
      <w:r>
        <w:rPr>
          <w:rFonts w:ascii="Century Gothic" w:hAnsi="Century Gothic" w:cs="Century Gothic" w:eastAsia="Century Gothic"/>
          <w:b w:val="0"/>
          <w:i w:val="0"/>
          <w:sz w:val="20"/>
        </w:rPr>
        <w:t>El modelo se rige por los cuatro principios que el Art. 12 de la Resolución HCU 032/2025 exige explicitar en todo plan de estudios propuesto: pertinencia, flexibilidad, integralidad e interdisciplinariedad. A ellos se suman dos principios transversales propios de la profesión contable: ética e interés público y mejora continua.</w:t>
      </w:r>
    </w:p>
    <w:p>
      <w:pPr>
        <w:spacing w:before="0" w:after="200" w:line="240" w:lineRule="auto"/>
        <w:jc w:val="both"/>
      </w:pPr>
      <w:r>
        <w:rPr>
          <w:rFonts w:ascii="Century Gothic" w:hAnsi="Century Gothic" w:cs="Century Gothic" w:eastAsia="Century Gothic"/>
          <w:b/>
          <w:i w:val="0"/>
          <w:sz w:val="20"/>
        </w:rPr>
        <w:t>a) Pertinencia.</w:t>
      </w:r>
      <w:r>
        <w:rPr>
          <w:rFonts w:ascii="Century Gothic" w:hAnsi="Century Gothic" w:cs="Century Gothic" w:eastAsia="Century Gothic"/>
          <w:b w:val="0"/>
          <w:i w:val="0"/>
          <w:sz w:val="20"/>
        </w:rPr>
        <w:t xml:space="preserve"> El reglamento la entiende como el desafío de formar integralmente a los profesionales sobre una fundamentación teórica sólida y un análisis claro de las condiciones políticas, económicas, sociales y culturales, en contacto con sujetos, instituciones, comunidades, organizaciones y empresas, para recontextualizar el currículo de manera dinámica. En la Carrera, la pertinencia se concreta en:</w:t>
      </w:r>
    </w:p>
    <w:p>
      <w:pPr>
        <w:numPr>
          <w:ilvl w:val="0"/>
          <w:numId w:val="905"/>
        </w:numPr>
        <w:spacing w:before="0" w:after="160" w:line="240" w:lineRule="auto"/>
        <w:jc w:val="both"/>
      </w:pPr>
      <w:r>
        <w:rPr>
          <w:rFonts w:ascii="Century Gothic" w:hAnsi="Century Gothic" w:cs="Century Gothic" w:eastAsia="Century Gothic"/>
          <w:b w:val="0"/>
          <w:i w:val="0"/>
          <w:sz w:val="20"/>
        </w:rPr>
        <w:t>un perfil de egreso orientado al Contador Público Autorizado, que amplía la formación más allá de la auditoría financiera hacia el aseguramiento de información no financiera, la gestión de riesgos, la consultoría y la asesoría tributaria;</w:t>
      </w:r>
    </w:p>
    <w:p>
      <w:pPr>
        <w:numPr>
          <w:ilvl w:val="0"/>
          <w:numId w:val="905"/>
        </w:numPr>
        <w:spacing w:before="0" w:after="160" w:line="240" w:lineRule="auto"/>
        <w:jc w:val="both"/>
      </w:pPr>
      <w:r>
        <w:rPr>
          <w:rFonts w:ascii="Century Gothic" w:hAnsi="Century Gothic" w:cs="Century Gothic" w:eastAsia="Century Gothic"/>
          <w:b w:val="0"/>
          <w:i w:val="0"/>
          <w:sz w:val="20"/>
        </w:rPr>
        <w:t>contenidos actualizados a las normas vigentes: NIIF y NIIF para las PYMES, NIIF de Sostenibilidad (NIIF S1 y S2), NIA, NIEA, ISSAI, Normas de Auditoría Gubernamental y legislación tributaria boliviana;</w:t>
      </w:r>
    </w:p>
    <w:p>
      <w:pPr>
        <w:numPr>
          <w:ilvl w:val="0"/>
          <w:numId w:val="905"/>
        </w:numPr>
        <w:spacing w:before="0" w:after="160" w:line="240" w:lineRule="auto"/>
        <w:jc w:val="both"/>
      </w:pPr>
      <w:r>
        <w:rPr>
          <w:rFonts w:ascii="Century Gothic" w:hAnsi="Century Gothic" w:cs="Century Gothic" w:eastAsia="Century Gothic"/>
          <w:b w:val="0"/>
          <w:i w:val="0"/>
          <w:sz w:val="20"/>
        </w:rPr>
        <w:t>respuesta a los campos reales de inserción de los egresados: auditoría interna (35 %), contabilidad (26 %), auditoría externa (18 %) e impuestos (11 %) (Ipsos CIESMORI, 2025);</w:t>
      </w:r>
    </w:p>
    <w:p>
      <w:pPr>
        <w:numPr>
          <w:ilvl w:val="0"/>
          <w:numId w:val="905"/>
        </w:numPr>
        <w:spacing w:before="0" w:after="200" w:line="240" w:lineRule="auto"/>
        <w:jc w:val="both"/>
      </w:pPr>
      <w:r>
        <w:rPr>
          <w:rFonts w:ascii="Century Gothic" w:hAnsi="Century Gothic" w:cs="Century Gothic" w:eastAsia="Century Gothic"/>
          <w:b w:val="0"/>
          <w:i w:val="0"/>
          <w:sz w:val="20"/>
        </w:rPr>
        <w:t>prácticas preprofesionales y proyectos con entidades públicas, empresas y organizaciones sociales.</w:t>
      </w:r>
    </w:p>
    <w:p>
      <w:pPr>
        <w:spacing w:before="0" w:after="200" w:line="240" w:lineRule="auto"/>
        <w:jc w:val="both"/>
      </w:pPr>
      <w:r>
        <w:rPr>
          <w:rFonts w:ascii="Century Gothic" w:hAnsi="Century Gothic" w:cs="Century Gothic" w:eastAsia="Century Gothic"/>
          <w:b/>
          <w:i w:val="0"/>
          <w:sz w:val="20"/>
        </w:rPr>
        <w:t>b) Flexibilidad.</w:t>
      </w:r>
      <w:r>
        <w:rPr>
          <w:rFonts w:ascii="Century Gothic" w:hAnsi="Century Gothic" w:cs="Century Gothic" w:eastAsia="Century Gothic"/>
          <w:b w:val="0"/>
          <w:i w:val="0"/>
          <w:sz w:val="20"/>
        </w:rPr>
        <w:t xml:space="preserve"> El reglamento la relaciona con la capacidad del plan de incorporar oportunamente conocimientos y técnicas modernas, ofrecer distintas alternativas de entrada y salida y rutas acordes con las posibilidades, intereses y necesidades de los estudiantes. En la Carrera se concreta en:</w:t>
      </w:r>
    </w:p>
    <w:p>
      <w:pPr>
        <w:numPr>
          <w:ilvl w:val="0"/>
          <w:numId w:val="906"/>
        </w:numPr>
        <w:spacing w:before="0" w:after="160" w:line="240" w:lineRule="auto"/>
        <w:jc w:val="both"/>
      </w:pPr>
      <w:r>
        <w:rPr>
          <w:rFonts w:ascii="Century Gothic" w:hAnsi="Century Gothic" w:cs="Century Gothic" w:eastAsia="Century Gothic"/>
          <w:b w:val="0"/>
          <w:i w:val="0"/>
          <w:sz w:val="20"/>
        </w:rPr>
        <w:t>la actualización anual de los planes de asignatura mediante la complementación curricular (Res. HCU 032/2025, Art. 7), sin esperar un nuevo rediseño para incorporar cambios normativos o tecnológicos;</w:t>
      </w:r>
    </w:p>
    <w:p>
      <w:pPr>
        <w:numPr>
          <w:ilvl w:val="0"/>
          <w:numId w:val="906"/>
        </w:numPr>
        <w:spacing w:before="0" w:after="160" w:line="240" w:lineRule="auto"/>
        <w:jc w:val="both"/>
      </w:pPr>
      <w:r>
        <w:rPr>
          <w:rFonts w:ascii="Century Gothic" w:hAnsi="Century Gothic" w:cs="Century Gothic" w:eastAsia="Century Gothic"/>
          <w:b w:val="0"/>
          <w:i w:val="0"/>
          <w:sz w:val="20"/>
        </w:rPr>
        <w:t>la oferta en turno diurno y nocturno y el uso de entornos virtuales de apoyo, en atención al 48,9 % de estudiantes que trabaja (DSIE, 2025);</w:t>
      </w:r>
    </w:p>
    <w:p>
      <w:pPr>
        <w:numPr>
          <w:ilvl w:val="0"/>
          <w:numId w:val="906"/>
        </w:numPr>
        <w:spacing w:before="0" w:after="160" w:line="240" w:lineRule="auto"/>
        <w:jc w:val="both"/>
      </w:pPr>
      <w:r>
        <w:rPr>
          <w:rFonts w:ascii="Century Gothic" w:hAnsi="Century Gothic" w:cs="Century Gothic" w:eastAsia="Century Gothic"/>
          <w:b w:val="0"/>
          <w:i w:val="0"/>
          <w:sz w:val="20"/>
        </w:rPr>
        <w:t xml:space="preserve">asignaturas electivas o de profundización en el último año y certificaciones intermedias modulares articuladas con diplomados de posgrado </w:t>
      </w:r>
      <w:r>
        <w:rPr>
          <w:rFonts w:ascii="Century Gothic" w:hAnsi="Century Gothic" w:cs="Century Gothic" w:eastAsia="Century Gothic"/>
          <w:b/>
          <w:i w:val="0"/>
          <w:sz w:val="20"/>
        </w:rPr>
        <w:t>[Verificar]</w:t>
      </w:r>
      <w:r>
        <w:rPr>
          <w:rFonts w:ascii="Century Gothic" w:hAnsi="Century Gothic" w:cs="Century Gothic" w:eastAsia="Century Gothic"/>
          <w:b w:val="0"/>
          <w:i w:val="0"/>
          <w:sz w:val="20"/>
        </w:rPr>
        <w:t>;</w:t>
      </w:r>
    </w:p>
    <w:p>
      <w:pPr>
        <w:numPr>
          <w:ilvl w:val="0"/>
          <w:numId w:val="906"/>
        </w:numPr>
        <w:spacing w:before="0" w:after="200" w:line="240" w:lineRule="auto"/>
        <w:jc w:val="both"/>
      </w:pPr>
      <w:r>
        <w:rPr>
          <w:rFonts w:ascii="Century Gothic" w:hAnsi="Century Gothic" w:cs="Century Gothic" w:eastAsia="Century Gothic"/>
          <w:b w:val="0"/>
          <w:i w:val="0"/>
          <w:sz w:val="20"/>
        </w:rPr>
        <w:t>modalidades de graduación diversificadas.</w:t>
      </w:r>
    </w:p>
    <w:p>
      <w:pPr>
        <w:spacing w:before="0" w:after="200" w:line="240" w:lineRule="auto"/>
        <w:jc w:val="both"/>
      </w:pPr>
      <w:r>
        <w:rPr>
          <w:rFonts w:ascii="Century Gothic" w:hAnsi="Century Gothic" w:cs="Century Gothic" w:eastAsia="Century Gothic"/>
          <w:b/>
          <w:i w:val="0"/>
          <w:sz w:val="20"/>
        </w:rPr>
        <w:t>c) Integridad.</w:t>
      </w:r>
      <w:r>
        <w:rPr>
          <w:rFonts w:ascii="Century Gothic" w:hAnsi="Century Gothic" w:cs="Century Gothic" w:eastAsia="Century Gothic"/>
          <w:b w:val="0"/>
          <w:i w:val="0"/>
          <w:sz w:val="20"/>
        </w:rPr>
        <w:t xml:space="preserve"> El reglamento la vincula con una formación en valores, conocimientos y prácticas propias de la profesión, complementada con campos teóricos que permiten una visión plural del mundo. En la Carrera, cada asignatura desarrolla de forma articulada el saber conocer, el saber hacer, el saber ser y convivir y el manejo de tecnología. Se incluyen explícitamente las habilidades blandas y de comunicación, porque son la principal barrera de contratación reportada por los empleadores bolivianos (26 %, BID, 2022).</w:t>
      </w:r>
    </w:p>
    <w:p>
      <w:pPr>
        <w:spacing w:before="0" w:after="200" w:line="240" w:lineRule="auto"/>
        <w:jc w:val="both"/>
      </w:pPr>
      <w:r>
        <w:rPr>
          <w:rFonts w:ascii="Century Gothic" w:hAnsi="Century Gothic" w:cs="Century Gothic" w:eastAsia="Century Gothic"/>
          <w:b/>
          <w:i w:val="0"/>
          <w:sz w:val="20"/>
        </w:rPr>
        <w:t>d) Interdisciplinariedad.</w:t>
      </w:r>
      <w:r>
        <w:rPr>
          <w:rFonts w:ascii="Century Gothic" w:hAnsi="Century Gothic" w:cs="Century Gothic" w:eastAsia="Century Gothic"/>
          <w:b w:val="0"/>
          <w:i w:val="0"/>
          <w:sz w:val="20"/>
        </w:rPr>
        <w:t xml:space="preserve"> El reglamento la define como el entendimiento colaborativo de saberes de disciplinas diferentes para problematizar la formación profesional y buscar soluciones a problemas de formación, investigación e interacción. La Contaduría Pública es por naturaleza interdisciplinaria: integra contabilidad, derecho, economía, administración, finanzas, estadística y tecnologías de la información. El plan lo concreta en gabinetes y talleres integradores, como el Gabinete de Auditoría Financiera, donde un mismo caso exige aplicar normas contables, tributarias, laborales y de auditoría con herramientas de análisis de datos.</w:t>
      </w:r>
    </w:p>
    <w:p>
      <w:pPr>
        <w:spacing w:before="0" w:after="200" w:line="240" w:lineRule="auto"/>
        <w:jc w:val="both"/>
      </w:pPr>
      <w:r>
        <w:rPr>
          <w:rFonts w:ascii="Century Gothic" w:hAnsi="Century Gothic" w:cs="Century Gothic" w:eastAsia="Century Gothic"/>
          <w:b/>
          <w:i w:val="0"/>
          <w:sz w:val="20"/>
        </w:rPr>
        <w:t>e) Ética e interés público (principio transversal).</w:t>
      </w:r>
      <w:r>
        <w:rPr>
          <w:rFonts w:ascii="Century Gothic" w:hAnsi="Century Gothic" w:cs="Century Gothic" w:eastAsia="Century Gothic"/>
          <w:b w:val="0"/>
          <w:i w:val="0"/>
          <w:sz w:val="20"/>
        </w:rPr>
        <w:t xml:space="preserve"> El contador público ejerce una profesión de interés público y da fe pública. Por ello, los principios del Código Internacional de Ética del IESBA (integridad, objetividad, competencia y diligencia profesional, confidencialidad y comportamiento profesional) y el escepticismo y juicio profesional que exige la IES 4 se evalúan en todas las asignaturas, no solo en la de Ética e Independencia Profesional. Este principio responde al 83 % de estudiantes que percibe un descuido de los valores éticos en la comunidad académica (FODA, IICCFA, 2025).</w:t>
      </w:r>
    </w:p>
    <w:p>
      <w:pPr>
        <w:spacing w:before="0" w:after="200" w:line="240" w:lineRule="auto"/>
        <w:jc w:val="both"/>
      </w:pPr>
      <w:r>
        <w:rPr>
          <w:rFonts w:ascii="Century Gothic" w:hAnsi="Century Gothic" w:cs="Century Gothic" w:eastAsia="Century Gothic"/>
          <w:b/>
          <w:i w:val="0"/>
          <w:sz w:val="20"/>
        </w:rPr>
        <w:t>f) Mejora continua (principio transversal).</w:t>
      </w:r>
      <w:r>
        <w:rPr>
          <w:rFonts w:ascii="Century Gothic" w:hAnsi="Century Gothic" w:cs="Century Gothic" w:eastAsia="Century Gothic"/>
          <w:b w:val="0"/>
          <w:i w:val="0"/>
          <w:sz w:val="20"/>
        </w:rPr>
        <w:t xml:space="preserve"> El currículo se concibe como un proceso permanente de construcción a partir de la autoevaluación, la investigación de los retos del contexto y el seguimiento a graduados (Tobón, 2013). Se concreta en los niveles de ajuste (cada dos años) y complementación (cada año) que prevé el reglamento, y en la evaluación curricular del punto 12 del documento.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4.3.3</w:t>
        <w:tab/>
      </w:r>
      <w:r>
        <w:rPr>
          <w:rFonts w:ascii="Century Gothic" w:hAnsi="Century Gothic" w:cs="Century Gothic" w:eastAsia="Century Gothic"/>
          <w:b/>
          <w:i w:val="0"/>
          <w:sz w:val="24"/>
        </w:rPr>
        <w:t>Objetivo general del rediseño</w:t>
      </w:r>
    </w:p>
    <w:p>
      <w:pPr>
        <w:spacing w:before="0" w:after="200" w:line="240" w:lineRule="auto"/>
        <w:jc w:val="both"/>
      </w:pPr>
      <w:r>
        <w:rPr>
          <w:rFonts w:ascii="Century Gothic" w:hAnsi="Century Gothic" w:cs="Century Gothic" w:eastAsia="Century Gothic"/>
          <w:b w:val="0"/>
          <w:i w:val="0"/>
          <w:sz w:val="20"/>
        </w:rPr>
        <w:t>Rediseñar el Plan de Estudios 2013 de la Licenciatura en Contaduría Pública de la Universidad Mayor de San Andrés bajo un modelo curricular por competencias, en conformidad con el Reglamento de Innovación Curricular (Res. HCU 032/2025), los lineamientos del Sistema de la Universidad Boliviana y las Normas Internacionales de Educación de IFAC, para formar Contadores Públicos Autorizados competentes en la preparación, el aseguramiento y el análisis estratégico de información financiera y no financiera, con dominio de tecnologías emergentes y compromiso ético con el interés público, que respondan a las necesidades del Estado, la sociedad y el mercado laboral nacional e internacional.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4.3.4</w:t>
        <w:tab/>
      </w:r>
      <w:r>
        <w:rPr>
          <w:rFonts w:ascii="Century Gothic" w:hAnsi="Century Gothic" w:cs="Century Gothic" w:eastAsia="Century Gothic"/>
          <w:b/>
          <w:i w:val="0"/>
          <w:sz w:val="24"/>
        </w:rPr>
        <w:t>Objetivos específicos del rediseño</w:t>
      </w:r>
    </w:p>
    <w:p>
      <w:pPr>
        <w:spacing w:before="0" w:after="200" w:line="240" w:lineRule="auto"/>
        <w:jc w:val="both"/>
      </w:pPr>
      <w:r>
        <w:rPr>
          <w:rFonts w:ascii="Century Gothic" w:hAnsi="Century Gothic" w:cs="Century Gothic" w:eastAsia="Century Gothic"/>
          <w:b w:val="0"/>
          <w:i w:val="0"/>
          <w:sz w:val="20"/>
        </w:rPr>
        <w:t>Cada objetivo responde a una brecha identificada en el Diagnóstico del Plan de Estudios 2013:</w:t>
      </w:r>
    </w:p>
    <w:p>
      <w:pPr>
        <w:numPr>
          <w:ilvl w:val="0"/>
          <w:numId w:val="907"/>
        </w:numPr>
        <w:spacing w:before="0" w:after="160" w:line="240" w:lineRule="auto"/>
        <w:jc w:val="both"/>
      </w:pPr>
      <w:r>
        <w:rPr>
          <w:rFonts w:ascii="Century Gothic" w:hAnsi="Century Gothic" w:cs="Century Gothic" w:eastAsia="Century Gothic"/>
          <w:b w:val="0"/>
          <w:i w:val="0"/>
          <w:sz w:val="20"/>
        </w:rPr>
        <w:t>Reformular el perfil de egreso hacia el modelo del Contador Público Autorizado aprobado por la III-XIII Reunión Sectorial del SUB (2024), ampliando la formación en auditoría financiera a los servicios de aseguramiento y distintos del aseguramiento. Responde al 46 % de egresados percibe saturado el mercado para el perfil tradicional (Ipsos CIESMORI, 2025).</w:t>
      </w:r>
    </w:p>
    <w:p>
      <w:pPr>
        <w:numPr>
          <w:ilvl w:val="0"/>
          <w:numId w:val="907"/>
        </w:numPr>
        <w:spacing w:before="0" w:after="160" w:line="240" w:lineRule="auto"/>
        <w:jc w:val="both"/>
      </w:pPr>
      <w:r>
        <w:rPr>
          <w:rFonts w:ascii="Century Gothic" w:hAnsi="Century Gothic" w:cs="Century Gothic" w:eastAsia="Century Gothic"/>
          <w:b w:val="0"/>
          <w:i w:val="0"/>
          <w:sz w:val="20"/>
        </w:rPr>
        <w:t xml:space="preserve">Alinear las competencias del plan con las IES 2, 3 y 4 de IFAC y actualizar la terminología y los contenidos a los pronunciamientos vigentes del IASB, ISSB, IAASB e IESBA, para favorecer la transferibilidad y la acreditación internacional. </w:t>
      </w:r>
      <w:r>
        <w:rPr>
          <w:rFonts w:ascii="Century Gothic" w:hAnsi="Century Gothic" w:cs="Century Gothic" w:eastAsia="Century Gothic"/>
          <w:b w:val="0"/>
          <w:i/>
          <w:sz w:val="20"/>
        </w:rPr>
        <w:t>Responde a:</w:t>
      </w:r>
      <w:r>
        <w:rPr>
          <w:rFonts w:ascii="Century Gothic" w:hAnsi="Century Gothic" w:cs="Century Gothic" w:eastAsia="Century Gothic"/>
          <w:b w:val="0"/>
          <w:i w:val="0"/>
          <w:sz w:val="20"/>
        </w:rPr>
        <w:t xml:space="preserve"> el criterio de transferibilidad, valorado como “bajo” en el diagnóstico.</w:t>
      </w:r>
    </w:p>
    <w:p>
      <w:pPr>
        <w:numPr>
          <w:ilvl w:val="0"/>
          <w:numId w:val="907"/>
        </w:numPr>
        <w:spacing w:before="0" w:after="160" w:line="240" w:lineRule="auto"/>
        <w:jc w:val="both"/>
      </w:pPr>
      <w:r>
        <w:rPr>
          <w:rFonts w:ascii="Century Gothic" w:hAnsi="Century Gothic" w:cs="Century Gothic" w:eastAsia="Century Gothic"/>
          <w:b w:val="0"/>
          <w:i w:val="0"/>
          <w:sz w:val="20"/>
        </w:rPr>
        <w:t xml:space="preserve">Integrar la transformación digital como eje transversal, incorporando analítica de datos, inteligencia artificial aplicada, sistemas ERP, auditoría asistida por tecnología y ciberseguridad. </w:t>
      </w:r>
      <w:r>
        <w:rPr>
          <w:rFonts w:ascii="Century Gothic" w:hAnsi="Century Gothic" w:cs="Century Gothic" w:eastAsia="Century Gothic"/>
          <w:b w:val="0"/>
          <w:i/>
          <w:sz w:val="20"/>
        </w:rPr>
        <w:t>Responde a:</w:t>
      </w:r>
      <w:r>
        <w:rPr>
          <w:rFonts w:ascii="Century Gothic" w:hAnsi="Century Gothic" w:cs="Century Gothic" w:eastAsia="Century Gothic"/>
          <w:b w:val="0"/>
          <w:i w:val="0"/>
          <w:sz w:val="20"/>
        </w:rPr>
        <w:t xml:space="preserve"> una brecha tecnológica del 93 % y a que solo el 43 % de egresados considera actualizada la tecnología enseñada (Ipsos CIESMORI, 2025).</w:t>
      </w:r>
    </w:p>
    <w:p>
      <w:pPr>
        <w:numPr>
          <w:ilvl w:val="0"/>
          <w:numId w:val="907"/>
        </w:numPr>
        <w:spacing w:before="0" w:after="160" w:line="240" w:lineRule="auto"/>
        <w:jc w:val="both"/>
      </w:pPr>
      <w:r>
        <w:rPr>
          <w:rFonts w:ascii="Century Gothic" w:hAnsi="Century Gothic" w:cs="Century Gothic" w:eastAsia="Century Gothic"/>
          <w:b w:val="0"/>
          <w:i w:val="0"/>
          <w:sz w:val="20"/>
        </w:rPr>
        <w:t xml:space="preserve">Incorporar los contenidos emergentes de mayor demanda: NIIF y NIIF de Sostenibilidad, aseguramiento de información no financiera (NIEA 3000 y NIEA 5000), gestión integral de riesgos (ERM/GRC) y tributación digital. </w:t>
      </w:r>
      <w:r>
        <w:rPr>
          <w:rFonts w:ascii="Century Gothic" w:hAnsi="Century Gothic" w:cs="Century Gothic" w:eastAsia="Century Gothic"/>
          <w:b w:val="0"/>
          <w:i/>
          <w:sz w:val="20"/>
        </w:rPr>
        <w:t>Responde a:</w:t>
      </w:r>
      <w:r>
        <w:rPr>
          <w:rFonts w:ascii="Century Gothic" w:hAnsi="Century Gothic" w:cs="Century Gothic" w:eastAsia="Century Gothic"/>
          <w:b w:val="0"/>
          <w:i w:val="0"/>
          <w:sz w:val="20"/>
        </w:rPr>
        <w:t xml:space="preserve"> la cobertura “insuficiente” del campo de consultoría, ESG e IA en la matriz de alineación del diagnóstico.</w:t>
      </w:r>
    </w:p>
    <w:p>
      <w:pPr>
        <w:numPr>
          <w:ilvl w:val="0"/>
          <w:numId w:val="907"/>
        </w:numPr>
        <w:spacing w:before="0" w:after="160" w:line="240" w:lineRule="auto"/>
        <w:jc w:val="both"/>
      </w:pPr>
      <w:r>
        <w:rPr>
          <w:rFonts w:ascii="Century Gothic" w:hAnsi="Century Gothic" w:cs="Century Gothic" w:eastAsia="Century Gothic"/>
          <w:b w:val="0"/>
          <w:i w:val="0"/>
          <w:sz w:val="20"/>
        </w:rPr>
        <w:t xml:space="preserve">Fortalecer la formación ética y las habilidades profesionales (pensamiento crítico, comunicación, trabajo en equipo, gestión del tiempo e inglés técnico contable) de forma explícita en todas las asignaturas. </w:t>
      </w:r>
      <w:r>
        <w:rPr>
          <w:rFonts w:ascii="Century Gothic" w:hAnsi="Century Gothic" w:cs="Century Gothic" w:eastAsia="Century Gothic"/>
          <w:b w:val="0"/>
          <w:i/>
          <w:sz w:val="20"/>
        </w:rPr>
        <w:t>Responde a:</w:t>
      </w:r>
      <w:r>
        <w:rPr>
          <w:rFonts w:ascii="Century Gothic" w:hAnsi="Century Gothic" w:cs="Century Gothic" w:eastAsia="Century Gothic"/>
          <w:b w:val="0"/>
          <w:i w:val="0"/>
          <w:sz w:val="20"/>
        </w:rPr>
        <w:t xml:space="preserve"> las brechas en gestión del tiempo (81 %) y pensamiento crítico (78 %) y a las habilidades blandas como primera barrera de contratación (BID, 2022).</w:t>
      </w:r>
    </w:p>
    <w:p>
      <w:pPr>
        <w:numPr>
          <w:ilvl w:val="0"/>
          <w:numId w:val="907"/>
        </w:numPr>
        <w:spacing w:before="0" w:after="160" w:line="240" w:lineRule="auto"/>
        <w:jc w:val="both"/>
      </w:pPr>
      <w:r>
        <w:rPr>
          <w:rFonts w:ascii="Century Gothic" w:hAnsi="Century Gothic" w:cs="Century Gothic" w:eastAsia="Century Gothic"/>
          <w:b w:val="0"/>
          <w:i w:val="0"/>
          <w:sz w:val="20"/>
        </w:rPr>
        <w:t xml:space="preserve">Implementar estrategias de aprendizaje activo y evaluación auténtica basadas en proyectos, casos reales y simulación, con evidencias de desempeño, de producto y de conocimiento. </w:t>
      </w:r>
      <w:r>
        <w:rPr>
          <w:rFonts w:ascii="Century Gothic" w:hAnsi="Century Gothic" w:cs="Century Gothic" w:eastAsia="Century Gothic"/>
          <w:b w:val="0"/>
          <w:i/>
          <w:sz w:val="20"/>
        </w:rPr>
        <w:t>Responde a:</w:t>
      </w:r>
      <w:r>
        <w:rPr>
          <w:rFonts w:ascii="Century Gothic" w:hAnsi="Century Gothic" w:cs="Century Gothic" w:eastAsia="Century Gothic"/>
          <w:b w:val="0"/>
          <w:i w:val="0"/>
          <w:sz w:val="20"/>
        </w:rPr>
        <w:t xml:space="preserve"> el 88 % de estudiantes que demanda aprendizaje basado en proyectos reales (FODA, IICCFA, 2025).</w:t>
      </w:r>
    </w:p>
    <w:p>
      <w:pPr>
        <w:numPr>
          <w:ilvl w:val="0"/>
          <w:numId w:val="907"/>
        </w:numPr>
        <w:spacing w:before="0" w:after="160" w:line="240" w:lineRule="auto"/>
        <w:jc w:val="both"/>
      </w:pPr>
      <w:r>
        <w:rPr>
          <w:rFonts w:ascii="Century Gothic" w:hAnsi="Century Gothic" w:cs="Century Gothic" w:eastAsia="Century Gothic"/>
          <w:b w:val="0"/>
          <w:i w:val="0"/>
          <w:sz w:val="20"/>
        </w:rPr>
        <w:t xml:space="preserve">Institucionalizar las prácticas preprofesionales y la interacción social mediante convenios con entidades públicas, firmas de auditoría y empresas. </w:t>
      </w:r>
      <w:r>
        <w:rPr>
          <w:rFonts w:ascii="Century Gothic" w:hAnsi="Century Gothic" w:cs="Century Gothic" w:eastAsia="Century Gothic"/>
          <w:b w:val="0"/>
          <w:i/>
          <w:sz w:val="20"/>
        </w:rPr>
        <w:t>Responde a:</w:t>
      </w:r>
      <w:r>
        <w:rPr>
          <w:rFonts w:ascii="Century Gothic" w:hAnsi="Century Gothic" w:cs="Century Gothic" w:eastAsia="Century Gothic"/>
          <w:b w:val="0"/>
          <w:i w:val="0"/>
          <w:sz w:val="20"/>
        </w:rPr>
        <w:t xml:space="preserve"> la falta de experiencia práctica como segunda barrera de contratación (25 %, BID, 2022).</w:t>
      </w:r>
    </w:p>
    <w:p>
      <w:pPr>
        <w:numPr>
          <w:ilvl w:val="0"/>
          <w:numId w:val="907"/>
        </w:numPr>
        <w:spacing w:before="0" w:after="160" w:line="240" w:lineRule="auto"/>
        <w:jc w:val="both"/>
      </w:pPr>
      <w:r>
        <w:rPr>
          <w:rFonts w:ascii="Century Gothic" w:hAnsi="Century Gothic" w:cs="Century Gothic" w:eastAsia="Century Gothic"/>
          <w:b w:val="0"/>
          <w:i w:val="0"/>
          <w:sz w:val="20"/>
        </w:rPr>
        <w:t xml:space="preserve">Mejorar la eficiencia terminal con modalidades de graduación diversificadas y una organización de la carga horaria compatible con el estudiante que trabaja. </w:t>
      </w:r>
      <w:r>
        <w:rPr>
          <w:rFonts w:ascii="Century Gothic" w:hAnsi="Century Gothic" w:cs="Century Gothic" w:eastAsia="Century Gothic"/>
          <w:b w:val="0"/>
          <w:i/>
          <w:sz w:val="20"/>
        </w:rPr>
        <w:t>Responde a:</w:t>
      </w:r>
      <w:r>
        <w:rPr>
          <w:rFonts w:ascii="Century Gothic" w:hAnsi="Century Gothic" w:cs="Century Gothic" w:eastAsia="Century Gothic"/>
          <w:b w:val="0"/>
          <w:i w:val="0"/>
          <w:sz w:val="20"/>
        </w:rPr>
        <w:t xml:space="preserve"> los 396 estudiantes con 7 a 9 años de permanencia (DSIE, 2025).</w:t>
      </w:r>
    </w:p>
    <w:p>
      <w:pPr>
        <w:numPr>
          <w:ilvl w:val="0"/>
          <w:numId w:val="907"/>
        </w:numPr>
        <w:spacing w:before="0" w:after="200" w:line="240" w:lineRule="auto"/>
        <w:jc w:val="both"/>
      </w:pPr>
      <w:r>
        <w:rPr>
          <w:rFonts w:ascii="Century Gothic" w:hAnsi="Century Gothic" w:cs="Century Gothic" w:eastAsia="Century Gothic"/>
          <w:b w:val="0"/>
          <w:i w:val="0"/>
          <w:sz w:val="20"/>
        </w:rPr>
        <w:t xml:space="preserve">Articular el grado con el posgrado y la investigación, definiendo competencias de grado que sirvan de base para diplomados y maestrías de la Facultad, y vinculando las modalidades de graduación con las líneas del Instituto de Investigaciones de Ciencias Contables, Financieras y Auditoría (IICCFA). </w:t>
      </w:r>
      <w:r>
        <w:rPr>
          <w:rFonts w:ascii="Century Gothic" w:hAnsi="Century Gothic" w:cs="Century Gothic" w:eastAsia="Century Gothic"/>
          <w:b w:val="0"/>
          <w:i/>
          <w:sz w:val="20"/>
        </w:rPr>
        <w:t>Responde a:</w:t>
      </w:r>
      <w:r>
        <w:rPr>
          <w:rFonts w:ascii="Century Gothic" w:hAnsi="Century Gothic" w:cs="Century Gothic" w:eastAsia="Century Gothic"/>
          <w:b w:val="0"/>
          <w:i w:val="0"/>
          <w:sz w:val="20"/>
        </w:rPr>
        <w:t xml:space="preserve"> el criterio de articulación, valorado como “parcial” en el diagnóstico.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4.3.5</w:t>
        <w:tab/>
      </w:r>
      <w:r>
        <w:rPr>
          <w:rFonts w:ascii="Century Gothic" w:hAnsi="Century Gothic" w:cs="Century Gothic" w:eastAsia="Century Gothic"/>
          <w:b/>
          <w:i w:val="0"/>
          <w:sz w:val="24"/>
        </w:rPr>
        <w:t>Duración de la carrera en años o semestres</w:t>
      </w:r>
    </w:p>
    <w:p>
      <w:pPr>
        <w:spacing w:before="0" w:after="200" w:line="240" w:lineRule="auto"/>
        <w:jc w:val="both"/>
      </w:pPr>
      <w:r>
        <w:rPr>
          <w:rFonts w:ascii="Century Gothic" w:hAnsi="Century Gothic" w:cs="Century Gothic" w:eastAsia="Century Gothic"/>
          <w:b w:val="0"/>
          <w:i w:val="0"/>
          <w:sz w:val="20"/>
        </w:rPr>
        <w:t>La Licenciatura en Contaduría Pública tiene una duración de cinco (5) años académicos, en régimen anual y modalidad presencial con apoyo de entornos virtuales, en turnos diurno y nocturno. Se mantiene así la duración del Plan de Estudios 2013, que el diagnóstico no identifica como causa de las brechas detectadas.</w:t>
      </w:r>
    </w:p>
    <w:p>
      <w:pPr>
        <w:spacing w:before="0" w:after="200" w:line="240" w:lineRule="auto"/>
        <w:jc w:val="both"/>
      </w:pPr>
      <w:r>
        <w:rPr>
          <w:rFonts w:ascii="Century Gothic" w:hAnsi="Century Gothic" w:cs="Century Gothic" w:eastAsia="Century Gothic"/>
          <w:b/>
          <w:i w:val="0"/>
          <w:sz w:val="20"/>
        </w:rPr>
        <w:t>Sistema de créditos académicos.</w:t>
      </w:r>
      <w:r>
        <w:rPr>
          <w:rFonts w:ascii="Century Gothic" w:hAnsi="Century Gothic" w:cs="Century Gothic" w:eastAsia="Century Gothic"/>
          <w:b w:val="0"/>
          <w:i w:val="0"/>
          <w:sz w:val="20"/>
        </w:rPr>
        <w:t xml:space="preserve"> El plan adopta el Sistema de Créditos Académicos de la Universidad Mayor de San Andrés, de aplicación obligatoria en todas las carreras de pregrado (Art. 2). El crédito académico es "la unidad de medida del quehacer académico" y representa la cantidad de horas-estudio, en aula y extra-aula, que el estudiante necesita para cumplir los objetivos de aprendizaje de cada materia (Art. 3). Su marco de referencia es el Crédito Latinoamericano de Referencia (CLAR), la I-XII Reunión Académica Nacional (2014) y los reglamentos académicos del XII Congreso Nacional de Universidades (2013-2014) (Art. 4).</w:t>
      </w:r>
    </w:p>
    <w:p>
      <w:pPr>
        <w:spacing w:before="0" w:after="200" w:line="240" w:lineRule="auto"/>
        <w:jc w:val="both"/>
      </w:pPr>
      <w:r>
        <w:rPr>
          <w:rFonts w:ascii="Century Gothic" w:hAnsi="Century Gothic" w:cs="Century Gothic" w:eastAsia="Century Gothic"/>
          <w:b w:val="0"/>
          <w:i w:val="0"/>
          <w:sz w:val="20"/>
        </w:rPr>
        <w:t>Se aplican los normalizadores del Reglamento (Art. 6 y 8, Cuadros 1 y 3):</w:t>
      </w:r>
    </w:p>
    <w:tbl>
      <w:tblPr>
        <w:tblW w:type="auto" w:w="0"/>
        <w:jc w:val="center"/>
        <w:tblLayout w:type="fixed"/>
        <w:tblLook w:firstColumn="1" w:firstRow="1" w:lastColumn="0" w:lastRow="0" w:noHBand="0" w:noVBand="1" w:val="04A0"/>
      </w:tblPr>
      <w:tblGrid>
        <w:gridCol w:w="4308"/>
        <w:gridCol w:w="4763"/>
      </w:tblGrid>
      <w:tr>
        <w:trPr>
          <w:tblHeader/>
        </w:trPr>
        <w:tc>
          <w:tcPr>
            <w:tcW w:type="dxa" w:w="43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Parámetro</w:t>
            </w:r>
          </w:p>
        </w:tc>
        <w:tc>
          <w:tcPr>
            <w:tcW w:type="dxa" w:w="476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Valor</w:t>
            </w:r>
          </w:p>
        </w:tc>
      </w:tr>
      <w:tr>
        <w:tc>
          <w:tcPr>
            <w:tcW w:type="dxa" w:w="43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Valor del crédito académico</w:t>
            </w:r>
          </w:p>
        </w:tc>
        <w:tc>
          <w:tcPr>
            <w:tcW w:type="dxa" w:w="47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 horas trabajo</w:t>
            </w:r>
          </w:p>
        </w:tc>
      </w:tr>
      <w:tr>
        <w:tc>
          <w:tcPr>
            <w:tcW w:type="dxa" w:w="43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Semanas de trabajo por año</w:t>
            </w:r>
          </w:p>
        </w:tc>
        <w:tc>
          <w:tcPr>
            <w:tcW w:type="dxa" w:w="47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40</w:t>
            </w:r>
          </w:p>
        </w:tc>
      </w:tr>
      <w:tr>
        <w:tc>
          <w:tcPr>
            <w:tcW w:type="dxa" w:w="43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Horas trabajo por año</w:t>
            </w:r>
          </w:p>
        </w:tc>
        <w:tc>
          <w:tcPr>
            <w:tcW w:type="dxa" w:w="47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1.800</w:t>
            </w:r>
          </w:p>
        </w:tc>
      </w:tr>
      <w:tr>
        <w:tc>
          <w:tcPr>
            <w:tcW w:type="dxa" w:w="43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Créditos por año</w:t>
            </w:r>
          </w:p>
        </w:tc>
        <w:tc>
          <w:tcPr>
            <w:tcW w:type="dxa" w:w="47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r>
      <w:tr>
        <w:tc>
          <w:tcPr>
            <w:tcW w:type="dxa" w:w="43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Duración de la carrera</w:t>
            </w:r>
          </w:p>
        </w:tc>
        <w:tc>
          <w:tcPr>
            <w:tcW w:type="dxa" w:w="47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 años</w:t>
            </w:r>
          </w:p>
        </w:tc>
      </w:tr>
      <w:tr>
        <w:tc>
          <w:tcPr>
            <w:tcW w:type="dxa" w:w="43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Total de créditos</w:t>
            </w:r>
          </w:p>
        </w:tc>
        <w:tc>
          <w:tcPr>
            <w:tcW w:type="dxa" w:w="47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300</w:t>
            </w:r>
          </w:p>
        </w:tc>
      </w:tr>
      <w:tr>
        <w:tc>
          <w:tcPr>
            <w:tcW w:type="dxa" w:w="43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Tiempo total de la carrera</w:t>
            </w:r>
          </w:p>
        </w:tc>
        <w:tc>
          <w:tcPr>
            <w:tcW w:type="dxa" w:w="476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9.000 horas trabajo (60 × 5 × 30)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Las horas trabajo comprenden la carga total del estudiante (Art. 7). Las horas presenciales son las actividades bajo supervisión docente: clases, laboratorios, seminarios, talleres, investigación, interacción social, auxiliaturas y visitas de campo. Las horas no presenciales son el trabajo autónomo: lectura, búsqueda de información, ensayos, trabajos monográficos, preparación de evaluaciones e informes (Cuadro 2). Las 1.800 horas anuales en 40 semanas suponen una dedicación de 45 horas trabajo por semana.</w:t>
      </w:r>
    </w:p>
    <w:p>
      <w:pPr>
        <w:spacing w:before="0" w:after="200" w:line="240" w:lineRule="auto"/>
        <w:jc w:val="both"/>
      </w:pPr>
      <w:r>
        <w:rPr>
          <w:rFonts w:ascii="Century Gothic" w:hAnsi="Century Gothic" w:cs="Century Gothic" w:eastAsia="Century Gothic"/>
          <w:b/>
          <w:i w:val="0"/>
          <w:sz w:val="20"/>
        </w:rPr>
        <w:t>Asignación de créditos a las asignaturas.</w:t>
      </w:r>
      <w:r>
        <w:rPr>
          <w:rFonts w:ascii="Century Gothic" w:hAnsi="Century Gothic" w:cs="Century Gothic" w:eastAsia="Century Gothic"/>
          <w:b w:val="0"/>
          <w:i w:val="0"/>
          <w:sz w:val="20"/>
        </w:rPr>
        <w:t xml:space="preserve"> Los 60 créditos de cada año se distribuyen entre todas las asignaturas del año según su complejidad, es decir, según el tiempo presencial y no presencial que exige el aprendizaje de sus contenidos, con mayor asignación a las asignaturas troncales (Art. 8.1). Los créditos de cada asignatura resultan de dividir su carga horaria total entre 30. Cada plan de asignatura consigna sus horas presenciales, no presenciales, total y créditos, como exige la Res. HCU 032/2025 (Art. 9).</w:t>
      </w:r>
    </w:p>
    <w:p>
      <w:pPr>
        <w:spacing w:before="0" w:after="200" w:line="240" w:lineRule="auto"/>
        <w:jc w:val="both"/>
      </w:pPr>
      <w:r>
        <w:rPr>
          <w:rFonts w:ascii="Century Gothic" w:hAnsi="Century Gothic" w:cs="Century Gothic" w:eastAsia="Century Gothic"/>
          <w:b/>
          <w:i w:val="0"/>
          <w:sz w:val="20"/>
        </w:rPr>
        <w:t>Equivalencia internacional.</w:t>
      </w:r>
      <w:r>
        <w:rPr>
          <w:rFonts w:ascii="Century Gothic" w:hAnsi="Century Gothic" w:cs="Century Gothic" w:eastAsia="Century Gothic"/>
          <w:b w:val="0"/>
          <w:i w:val="0"/>
          <w:sz w:val="20"/>
        </w:rPr>
        <w:t xml:space="preserve"> Como el Reglamento toma por referencia el CLAR, que también fija 60 créditos por año y entre 24 y 33 horas por crédito, cada crédito de la Carrera equivale a un crédito CLAR. Los 300 créditos del plan equivalen a 300 créditos CLAR, lo que favorece la comparación, la homologación y la movilidad estudiantil (Art. 5 c y f).</w:t>
      </w:r>
    </w:p>
    <w:p>
      <w:pPr>
        <w:spacing w:before="0" w:after="200" w:line="240" w:lineRule="auto"/>
        <w:jc w:val="both"/>
      </w:pPr>
      <w:r>
        <w:rPr>
          <w:rFonts w:ascii="Century Gothic" w:hAnsi="Century Gothic" w:cs="Century Gothic" w:eastAsia="Century Gothic"/>
          <w:b/>
          <w:i w:val="0"/>
          <w:sz w:val="20"/>
        </w:rPr>
        <w:t>Comparación con el Plan 2013.</w:t>
      </w:r>
      <w:r>
        <w:rPr>
          <w:rFonts w:ascii="Century Gothic" w:hAnsi="Century Gothic" w:cs="Century Gothic" w:eastAsia="Century Gothic"/>
          <w:b w:val="0"/>
          <w:i w:val="0"/>
          <w:sz w:val="20"/>
        </w:rPr>
        <w:t xml:space="preserve"> Según los Cuadros 4 y 5, el Plan 2013 asigna 6.000 horas académicas de aula en cinco años, distribuidas en forma creciente (1.200 horas por año en promedio, sin contar las auxiliaturas de docencia). Ese plan no registra el trabajo autónomo del estudiante. Las 6.000 horas académicas de 45 minutos equivalen a 4.500 horas reloj presenciales. Si se reconoce una hora de trabajo autónomo por cada hora de aula, la carga total llega a las 9.000 horas trabajo y a los 300 créditos que fija el Reglamento:</w:t>
      </w:r>
    </w:p>
    <w:tbl>
      <w:tblPr>
        <w:tblW w:type="auto" w:w="0"/>
        <w:jc w:val="center"/>
        <w:tblLayout w:type="fixed"/>
        <w:tblLook w:firstColumn="1" w:firstRow="1" w:lastColumn="0" w:lastRow="0" w:noHBand="0" w:noVBand="1" w:val="04A0"/>
      </w:tblPr>
      <w:tblGrid>
        <w:gridCol w:w="1134"/>
        <w:gridCol w:w="1321"/>
        <w:gridCol w:w="1321"/>
        <w:gridCol w:w="1321"/>
        <w:gridCol w:w="1321"/>
        <w:gridCol w:w="1321"/>
        <w:gridCol w:w="1321"/>
      </w:tblGrid>
      <w:tr>
        <w:trPr>
          <w:tblHeader/>
        </w:trPr>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w:t>
            </w:r>
          </w:p>
        </w:tc>
        <w:tc>
          <w:tcPr>
            <w:tcW w:type="dxa" w:w="132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académicas de aula</w:t>
            </w:r>
          </w:p>
        </w:tc>
        <w:tc>
          <w:tcPr>
            <w:tcW w:type="dxa" w:w="132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reloj presenciales</w:t>
            </w:r>
          </w:p>
        </w:tc>
        <w:tc>
          <w:tcPr>
            <w:tcW w:type="dxa" w:w="132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reloj autónomas (1:1)</w:t>
            </w:r>
          </w:p>
        </w:tc>
        <w:tc>
          <w:tcPr>
            <w:tcW w:type="dxa" w:w="132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 trabajo totales</w:t>
            </w:r>
          </w:p>
        </w:tc>
        <w:tc>
          <w:tcPr>
            <w:tcW w:type="dxa" w:w="132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Créditos (÷ 30)</w:t>
            </w:r>
          </w:p>
        </w:tc>
        <w:tc>
          <w:tcPr>
            <w:tcW w:type="dxa" w:w="132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Normalizador UMSA (créditos)</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Primero</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1.040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780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780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1.560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52</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Segundo</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1.120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840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840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1.680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56</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Tercero</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1.280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960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960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1.920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64</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Cuarto</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1.280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960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960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1.920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64</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Quinto</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1.280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960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960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1.920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64</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60</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6.000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4.500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4.500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9.000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300</w:t>
            </w:r>
          </w:p>
        </w:tc>
        <w:tc>
          <w:tcPr>
            <w:tcW w:type="dxa" w:w="132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300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El nuevo plan mantiene una carga de aula comparable y registra de forma explícita, en cada asignatura, las horas presenciales y las no presenciales, para totalizar 1.800 horas trabajo y 60 créditos por año.</w:t>
      </w:r>
    </w:p>
    <w:p>
      <w:pPr>
        <w:spacing w:before="0" w:after="200" w:line="240" w:lineRule="auto"/>
        <w:jc w:val="both"/>
      </w:pPr>
      <w:r>
        <w:rPr>
          <w:rFonts w:ascii="Century Gothic" w:hAnsi="Century Gothic" w:cs="Century Gothic" w:eastAsia="Century Gothic"/>
          <w:b w:val="0"/>
          <w:i w:val="0"/>
          <w:sz w:val="20"/>
        </w:rPr>
        <w:t>Los cinco años se organizan en tres ciclos de formación progresiva: básico (1.º y 2.º año), profesional (3.º y 4.º año) y de integración y profundización (5.º año). Al concluir el plan y aprobar una de las modalidades de graduación, el estudiante obtiene el grado académico de Licenciado(a) en Contaduría Pública y el título profesional correspondiente.</w:t>
      </w:r>
    </w:p>
    <w:p>
      <w:pPr>
        <w:spacing w:before="0" w:after="200" w:line="240" w:lineRule="auto"/>
        <w:jc w:val="both"/>
      </w:pPr>
      <w:r>
        <w:rPr>
          <w:rFonts w:ascii="Century Gothic" w:hAnsi="Century Gothic" w:cs="Century Gothic" w:eastAsia="Century Gothic"/>
          <w:b w:val="0"/>
          <w:i w:val="0"/>
          <w:sz w:val="20"/>
        </w:rPr>
        <w:t>Para el cálculo de créditos se aplica el Sistema de Créditos Académicos del SUB y el Reglamento de Asignación de Créditos de la UMSA: 1 crédito académico equivale a 30 horas reloj de trabajo total del estudiante, presencial y autónomo, con 60 créditos por año. La carrera suma 300 créditos en cinco años, equivalentes a 300 créditos CLAR. Con una hora autónoma por cada hora presencial, cada crédito corresponde a 30 horas académicas (15 horas reloj) de clase y 15 horas reloj de trabajo autónomo.</w:t>
      </w:r>
    </w:p>
    <w:p>
      <w:pPr>
        <w:spacing w:before="0" w:after="200" w:line="240" w:lineRule="auto"/>
        <w:jc w:val="both"/>
      </w:pPr>
      <w:r>
        <w:rPr>
          <w:rFonts w:ascii="Century Gothic" w:hAnsi="Century Gothic" w:cs="Century Gothic" w:eastAsia="Century Gothic"/>
          <w:b w:val="0"/>
          <w:i w:val="0"/>
          <w:sz w:val="20"/>
        </w:rPr>
        <w:t>Los cinco años se organizan en tres ciclos de formación progresiva:</w:t>
      </w:r>
    </w:p>
    <w:tbl>
      <w:tblPr>
        <w:tblW w:type="auto" w:w="0"/>
        <w:jc w:val="center"/>
        <w:tblLayout w:type="fixed"/>
        <w:tblLook w:firstColumn="1" w:firstRow="1" w:lastColumn="0" w:lastRow="0" w:noHBand="0" w:noVBand="1" w:val="04A0"/>
      </w:tblPr>
      <w:tblGrid>
        <w:gridCol w:w="1701"/>
        <w:gridCol w:w="907"/>
        <w:gridCol w:w="3061"/>
        <w:gridCol w:w="3402"/>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Ciclo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Años</w:t>
            </w:r>
          </w:p>
        </w:tc>
        <w:tc>
          <w:tcPr>
            <w:tcW w:type="dxa" w:w="30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Énfasis formativo</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Ejemplos de asignaturas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Básico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1.º y 2.º</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Fundamentos contables, matemáticos, económicos, jurídicos, administrativos y tecnológicos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Básica e Intermedia, Matemáticas, Economía, Derecho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Profesional</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3.º y 4.º</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Información financiera especializada, costos, tributos, ética, auditoría financiera y control interno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CPA-302 Contabilidad de Costos y Gestión, CPA-406 Ética e Independencia Profesional, CPA-407 Auditoría Financiera, CPA-408 Auditoría Interna, Control Interno y Gestión de Riesgos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 integración y profundización</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5.º</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Servicios de aseguramiento especializados, gabinetes integradores, práctica preprofesional y graduación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CPA-501 Auditoría Operativa, CPA-502 Gabinete de Auditoría Financiera, CPA-504 Auditoría Gubernamental, CPA-508 Auditoría Forense</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Al concluir el plan y aprobar una de las modalidades de graduación, el estudiante obtiene el grado académico de Licenciado(a) en Contaduría Pública y el título profesional correspondiente.</w:t>
      </w:r>
    </w:p>
    <w:p>
      <w:pPr>
        <w:keepNext/>
        <w:spacing w:before="40" w:after="200" w:line="240" w:lineRule="auto"/>
        <w:jc w:val="left"/>
      </w:pPr>
      <w:r>
        <w:rPr>
          <w:rFonts w:ascii="Century Gothic" w:hAnsi="Century Gothic" w:cs="Century Gothic" w:eastAsia="Century Gothic"/>
          <w:b/>
          <w:i w:val="0"/>
          <w:sz w:val="22"/>
        </w:rPr>
        <w:t>Fuentes consultadas</w:t>
      </w:r>
    </w:p>
    <w:p>
      <w:pPr>
        <w:keepNext/>
        <w:spacing w:before="0" w:after="120" w:line="240" w:lineRule="auto"/>
        <w:jc w:val="left"/>
      </w:pPr>
      <w:r>
        <w:rPr>
          <w:rFonts w:ascii="Century Gothic" w:hAnsi="Century Gothic" w:cs="Century Gothic" w:eastAsia="Century Gothic"/>
          <w:b/>
          <w:i w:val="0"/>
          <w:sz w:val="20"/>
        </w:rPr>
        <w:t>Documentos de la Carrera y de la UMSA</w:t>
      </w:r>
    </w:p>
    <w:p>
      <w:pPr>
        <w:numPr>
          <w:ilvl w:val="0"/>
          <w:numId w:val="908"/>
        </w:numPr>
        <w:spacing w:before="0" w:after="160" w:line="240" w:lineRule="auto"/>
        <w:jc w:val="both"/>
      </w:pPr>
      <w:r>
        <w:rPr>
          <w:rFonts w:ascii="Century Gothic" w:hAnsi="Century Gothic" w:cs="Century Gothic" w:eastAsia="Century Gothic"/>
          <w:b w:val="0"/>
          <w:i w:val="0"/>
          <w:sz w:val="20"/>
        </w:rPr>
        <w:t>CEUB, Secretaría Nacional Académica. Sistema de Créditos Académicos del Sistema de la Universidad Boliviana.</w:t>
      </w:r>
    </w:p>
    <w:p>
      <w:pPr>
        <w:numPr>
          <w:ilvl w:val="0"/>
          <w:numId w:val="908"/>
        </w:numPr>
        <w:spacing w:before="0" w:after="160" w:line="240" w:lineRule="auto"/>
        <w:jc w:val="both"/>
      </w:pPr>
      <w:r>
        <w:rPr>
          <w:rFonts w:ascii="Century Gothic" w:hAnsi="Century Gothic" w:cs="Century Gothic" w:eastAsia="Century Gothic"/>
          <w:b w:val="0"/>
          <w:i w:val="0"/>
          <w:sz w:val="20"/>
        </w:rPr>
        <w:t>CEUB. Modelo Académico del Sistema de la Universidad Boliviana, aprobado por Res. N.º 10/2011 de la III Conferencia Nacional Ordinaria de Universidades.</w:t>
      </w:r>
    </w:p>
    <w:p>
      <w:pPr>
        <w:numPr>
          <w:ilvl w:val="0"/>
          <w:numId w:val="908"/>
        </w:numPr>
        <w:spacing w:before="0" w:after="160" w:line="240" w:lineRule="auto"/>
        <w:jc w:val="both"/>
      </w:pPr>
      <w:r>
        <w:rPr>
          <w:rFonts w:ascii="Century Gothic" w:hAnsi="Century Gothic" w:cs="Century Gothic" w:eastAsia="Century Gothic"/>
          <w:b w:val="0"/>
          <w:i w:val="0"/>
          <w:sz w:val="20"/>
        </w:rPr>
        <w:t xml:space="preserve">Resolución HCU N.º 032/2025, </w:t>
      </w:r>
      <w:r>
        <w:rPr>
          <w:rFonts w:ascii="Century Gothic" w:hAnsi="Century Gothic" w:cs="Century Gothic" w:eastAsia="Century Gothic"/>
          <w:b w:val="0"/>
          <w:i/>
          <w:sz w:val="20"/>
        </w:rPr>
        <w:t>Reglamento de Innovación Curricular de la UMSA</w:t>
      </w:r>
      <w:r>
        <w:rPr>
          <w:rFonts w:ascii="Century Gothic" w:hAnsi="Century Gothic" w:cs="Century Gothic" w:eastAsia="Century Gothic"/>
          <w:b w:val="0"/>
          <w:i w:val="0"/>
          <w:sz w:val="20"/>
        </w:rPr>
        <w:t>, 12 de febrero de 2025: Arts. 3, 5, 7, 8, 9, 11 y 12.</w:t>
      </w:r>
    </w:p>
    <w:p>
      <w:pPr>
        <w:numPr>
          <w:ilvl w:val="0"/>
          <w:numId w:val="908"/>
        </w:numPr>
        <w:spacing w:before="0" w:after="160" w:line="240" w:lineRule="auto"/>
        <w:jc w:val="both"/>
      </w:pPr>
      <w:r>
        <w:rPr>
          <w:rFonts w:ascii="Century Gothic" w:hAnsi="Century Gothic" w:cs="Century Gothic" w:eastAsia="Century Gothic"/>
          <w:b w:val="0"/>
          <w:i w:val="0"/>
          <w:sz w:val="20"/>
        </w:rPr>
        <w:t xml:space="preserve">Carrera de Contaduría Pública, </w:t>
      </w:r>
      <w:r>
        <w:rPr>
          <w:rFonts w:ascii="Century Gothic" w:hAnsi="Century Gothic" w:cs="Century Gothic" w:eastAsia="Century Gothic"/>
          <w:b w:val="0"/>
          <w:i/>
          <w:sz w:val="20"/>
        </w:rPr>
        <w:t>Diagnóstico Plan de Estudios 2013</w:t>
      </w:r>
      <w:r>
        <w:rPr>
          <w:rFonts w:ascii="Century Gothic" w:hAnsi="Century Gothic" w:cs="Century Gothic" w:eastAsia="Century Gothic"/>
          <w:b w:val="0"/>
          <w:i w:val="0"/>
          <w:sz w:val="20"/>
        </w:rPr>
        <w:t>, 2026 (incluye los datos de Ipsos CIESMORI 2025, BID 2022, DSIE 2025 y FODA IICCFA 2025 citados arriba).</w:t>
      </w:r>
    </w:p>
    <w:p>
      <w:pPr>
        <w:numPr>
          <w:ilvl w:val="0"/>
          <w:numId w:val="908"/>
        </w:numPr>
        <w:spacing w:before="0" w:after="160" w:line="240" w:lineRule="auto"/>
        <w:jc w:val="both"/>
      </w:pPr>
      <w:r>
        <w:rPr>
          <w:rFonts w:ascii="Century Gothic" w:hAnsi="Century Gothic" w:cs="Century Gothic" w:eastAsia="Century Gothic"/>
          <w:b w:val="0"/>
          <w:i w:val="0"/>
          <w:sz w:val="20"/>
        </w:rPr>
        <w:t xml:space="preserve">Carrera de Contaduría Pública, </w:t>
      </w:r>
      <w:r>
        <w:rPr>
          <w:rFonts w:ascii="Century Gothic" w:hAnsi="Century Gothic" w:cs="Century Gothic" w:eastAsia="Century Gothic"/>
          <w:b w:val="0"/>
          <w:i/>
          <w:sz w:val="20"/>
        </w:rPr>
        <w:t>Visión, Misión, Objetivos y Perfil Profesional</w:t>
      </w:r>
      <w:r>
        <w:rPr>
          <w:rFonts w:ascii="Century Gothic" w:hAnsi="Century Gothic" w:cs="Century Gothic" w:eastAsia="Century Gothic"/>
          <w:b w:val="0"/>
          <w:i w:val="0"/>
          <w:sz w:val="20"/>
        </w:rPr>
        <w:t>, 2026.</w:t>
      </w:r>
    </w:p>
    <w:p>
      <w:pPr>
        <w:numPr>
          <w:ilvl w:val="0"/>
          <w:numId w:val="908"/>
        </w:numPr>
        <w:spacing w:before="0" w:after="160" w:line="240" w:lineRule="auto"/>
        <w:jc w:val="both"/>
      </w:pPr>
      <w:r>
        <w:rPr>
          <w:rFonts w:ascii="Century Gothic" w:hAnsi="Century Gothic" w:cs="Century Gothic" w:eastAsia="Century Gothic"/>
          <w:b w:val="0"/>
          <w:i w:val="0"/>
          <w:sz w:val="20"/>
        </w:rPr>
        <w:t>Comunicado FCEF/CARR/CONT.PUB N.º 168/2026, que cita la Resolución HCF N.º 1126/2026.</w:t>
      </w:r>
    </w:p>
    <w:p>
      <w:pPr>
        <w:numPr>
          <w:ilvl w:val="0"/>
          <w:numId w:val="908"/>
        </w:numPr>
        <w:spacing w:before="0" w:after="160" w:line="240" w:lineRule="auto"/>
        <w:jc w:val="both"/>
      </w:pPr>
      <w:r>
        <w:rPr>
          <w:rFonts w:ascii="Century Gothic" w:hAnsi="Century Gothic" w:cs="Century Gothic" w:eastAsia="Century Gothic"/>
          <w:b w:val="0"/>
          <w:i w:val="0"/>
          <w:sz w:val="20"/>
        </w:rPr>
        <w:t>Guía para la elaboración del itinerario formativo y plan de asignatura, y Cálculo de horas para plan de asignatura (documentos internos).</w:t>
      </w:r>
    </w:p>
    <w:p>
      <w:pPr>
        <w:numPr>
          <w:ilvl w:val="0"/>
          <w:numId w:val="908"/>
        </w:numPr>
        <w:spacing w:before="0" w:after="160" w:line="240" w:lineRule="auto"/>
        <w:jc w:val="both"/>
      </w:pPr>
      <w:r>
        <w:rPr>
          <w:rFonts w:ascii="Century Gothic" w:hAnsi="Century Gothic" w:cs="Century Gothic" w:eastAsia="Century Gothic"/>
          <w:b w:val="0"/>
          <w:i w:val="0"/>
          <w:sz w:val="20"/>
        </w:rPr>
        <w:t>UMSA, Vicerrectorado. Reglamento de Sistema de Asignación de Créditos Académicos de la UMSA.</w:t>
      </w:r>
    </w:p>
    <w:p>
      <w:pPr>
        <w:numPr>
          <w:ilvl w:val="0"/>
          <w:numId w:val="908"/>
        </w:numPr>
        <w:spacing w:before="0" w:after="160" w:line="240" w:lineRule="auto"/>
        <w:jc w:val="both"/>
      </w:pPr>
      <w:r>
        <w:rPr>
          <w:rFonts w:ascii="Century Gothic" w:hAnsi="Century Gothic" w:cs="Century Gothic" w:eastAsia="Century Gothic"/>
          <w:b w:val="0"/>
          <w:i w:val="0"/>
          <w:sz w:val="20"/>
        </w:rPr>
        <w:t>UMSA. Resolución HCU 032/2025, Reglamento de Innovación Curricular (copia escaneada del proyecto, páginas 1 a 6).</w:t>
      </w:r>
    </w:p>
    <w:p>
      <w:pPr>
        <w:numPr>
          <w:ilvl w:val="0"/>
          <w:numId w:val="908"/>
        </w:numPr>
        <w:spacing w:before="0" w:after="200" w:line="240" w:lineRule="auto"/>
        <w:jc w:val="both"/>
      </w:pPr>
      <w:r>
        <w:rPr>
          <w:rFonts w:ascii="Century Gothic" w:hAnsi="Century Gothic" w:cs="Century Gothic" w:eastAsia="Century Gothic"/>
          <w:b w:val="0"/>
          <w:i w:val="0"/>
          <w:sz w:val="20"/>
        </w:rPr>
        <w:t>UMSS, Facultad de Ciencias Económicas. Reglamento del Sistema de Créditos Académicos (2023), como contraste: aplica también 30 h reloj por crédito y cuenta una hora autónoma por cada hora de clase con docente (Art. 9 y 12).</w:t>
      </w:r>
    </w:p>
    <w:p>
      <w:pPr>
        <w:keepNext/>
        <w:spacing w:before="0" w:after="120" w:line="240" w:lineRule="auto"/>
        <w:jc w:val="left"/>
      </w:pPr>
      <w:r>
        <w:rPr>
          <w:rFonts w:ascii="Century Gothic" w:hAnsi="Century Gothic" w:cs="Century Gothic" w:eastAsia="Century Gothic"/>
          <w:b/>
          <w:i w:val="0"/>
          <w:sz w:val="20"/>
        </w:rPr>
        <w:t>Planes de otras Carreras de la UMSA</w:t>
      </w:r>
    </w:p>
    <w:p>
      <w:pPr>
        <w:numPr>
          <w:ilvl w:val="0"/>
          <w:numId w:val="909"/>
        </w:numPr>
        <w:spacing w:before="0" w:after="160" w:line="240" w:lineRule="auto"/>
        <w:jc w:val="both"/>
      </w:pPr>
      <w:r>
        <w:rPr>
          <w:rFonts w:ascii="Century Gothic" w:hAnsi="Century Gothic" w:cs="Century Gothic" w:eastAsia="Century Gothic"/>
          <w:b w:val="0"/>
          <w:i w:val="0"/>
          <w:sz w:val="20"/>
        </w:rPr>
        <w:t xml:space="preserve">Carrera de Turismo, </w:t>
      </w:r>
      <w:r>
        <w:rPr>
          <w:rFonts w:ascii="Century Gothic" w:hAnsi="Century Gothic" w:cs="Century Gothic" w:eastAsia="Century Gothic"/>
          <w:b w:val="0"/>
          <w:i/>
          <w:sz w:val="20"/>
        </w:rPr>
        <w:t>Rediseño Curricular por Competencias, Plan de Estudios 2026-2032</w:t>
      </w:r>
      <w:r>
        <w:rPr>
          <w:rFonts w:ascii="Century Gothic" w:hAnsi="Century Gothic" w:cs="Century Gothic" w:eastAsia="Century Gothic"/>
          <w:b w:val="0"/>
          <w:i w:val="0"/>
          <w:sz w:val="20"/>
        </w:rPr>
        <w:t xml:space="preserve"> (Res. HCU 055/2026), puntos 4.1 a 4.5, pp. 35-39.</w:t>
      </w:r>
    </w:p>
    <w:p>
      <w:pPr>
        <w:numPr>
          <w:ilvl w:val="0"/>
          <w:numId w:val="909"/>
        </w:numPr>
        <w:spacing w:before="0" w:after="200" w:line="240" w:lineRule="auto"/>
        <w:jc w:val="both"/>
      </w:pPr>
      <w:r>
        <w:rPr>
          <w:rFonts w:ascii="Century Gothic" w:hAnsi="Century Gothic" w:cs="Century Gothic" w:eastAsia="Century Gothic"/>
          <w:b w:val="0"/>
          <w:i w:val="0"/>
          <w:sz w:val="20"/>
        </w:rPr>
        <w:t xml:space="preserve">Carrera de Ciencias de la Educación, </w:t>
      </w:r>
      <w:r>
        <w:rPr>
          <w:rFonts w:ascii="Century Gothic" w:hAnsi="Century Gothic" w:cs="Century Gothic" w:eastAsia="Century Gothic"/>
          <w:b w:val="0"/>
          <w:i/>
          <w:sz w:val="20"/>
        </w:rPr>
        <w:t>Rediseño Curricular</w:t>
      </w:r>
      <w:r>
        <w:rPr>
          <w:rFonts w:ascii="Century Gothic" w:hAnsi="Century Gothic" w:cs="Century Gothic" w:eastAsia="Century Gothic"/>
          <w:b w:val="0"/>
          <w:i w:val="0"/>
          <w:sz w:val="20"/>
        </w:rPr>
        <w:t>, puntos 3.3, 3.4, 3.9 y 3.10, pp. 46-50. La definición de competencia de la I-XII RAN se tomó de este documento, no de la fuente original.</w:t>
      </w:r>
    </w:p>
    <w:p>
      <w:pPr>
        <w:keepNext/>
        <w:spacing w:before="0" w:after="120" w:line="240" w:lineRule="auto"/>
        <w:jc w:val="left"/>
      </w:pPr>
      <w:r>
        <w:rPr>
          <w:rFonts w:ascii="Century Gothic" w:hAnsi="Century Gothic" w:cs="Century Gothic" w:eastAsia="Century Gothic"/>
          <w:b/>
          <w:i w:val="0"/>
          <w:sz w:val="20"/>
        </w:rPr>
        <w:t>Normas y bibliografía externas</w:t>
      </w:r>
    </w:p>
    <w:p>
      <w:pPr>
        <w:numPr>
          <w:ilvl w:val="0"/>
          <w:numId w:val="910"/>
        </w:numPr>
        <w:spacing w:before="0" w:after="160" w:line="240" w:lineRule="auto"/>
        <w:jc w:val="both"/>
      </w:pPr>
      <w:r>
        <w:rPr>
          <w:rFonts w:ascii="Century Gothic" w:hAnsi="Century Gothic" w:cs="Century Gothic" w:eastAsia="Century Gothic"/>
          <w:b w:val="0"/>
          <w:i w:val="0"/>
          <w:sz w:val="20"/>
        </w:rPr>
        <w:t xml:space="preserve">Beneitone, P. (ed.) (2007). </w:t>
      </w:r>
      <w:r>
        <w:rPr>
          <w:rFonts w:ascii="Century Gothic" w:hAnsi="Century Gothic" w:cs="Century Gothic" w:eastAsia="Century Gothic"/>
          <w:b w:val="0"/>
          <w:i/>
          <w:sz w:val="20"/>
        </w:rPr>
        <w:t>Reflexiones y perspectivas de la educación superior en América Latina. Informe final, Proyecto Tuning América Latina 2004-2007</w:t>
      </w:r>
      <w:r>
        <w:rPr>
          <w:rFonts w:ascii="Century Gothic" w:hAnsi="Century Gothic" w:cs="Century Gothic" w:eastAsia="Century Gothic"/>
          <w:b w:val="0"/>
          <w:i w:val="0"/>
          <w:sz w:val="20"/>
        </w:rPr>
        <w:t>. Bilbao: Universidad de Deusto.</w:t>
      </w:r>
    </w:p>
    <w:p>
      <w:pPr>
        <w:numPr>
          <w:ilvl w:val="0"/>
          <w:numId w:val="910"/>
        </w:numPr>
        <w:spacing w:before="0" w:after="160" w:line="240" w:lineRule="auto"/>
        <w:jc w:val="both"/>
      </w:pPr>
      <w:r>
        <w:rPr>
          <w:rFonts w:ascii="Century Gothic" w:hAnsi="Century Gothic" w:cs="Century Gothic" w:eastAsia="Century Gothic"/>
          <w:b w:val="0"/>
          <w:i w:val="0"/>
          <w:sz w:val="20"/>
        </w:rPr>
        <w:t>IFAC, IES 2, Desarrollo Profesional Inicial: Competencia Técnica (revisada, 2026), vigente desde el 1 de julio de 2026.</w:t>
      </w:r>
    </w:p>
    <w:p>
      <w:pPr>
        <w:numPr>
          <w:ilvl w:val="0"/>
          <w:numId w:val="910"/>
        </w:numPr>
        <w:spacing w:before="0" w:after="160" w:line="240" w:lineRule="auto"/>
        <w:jc w:val="both"/>
      </w:pPr>
      <w:r>
        <w:rPr>
          <w:rFonts w:ascii="Century Gothic" w:hAnsi="Century Gothic" w:cs="Century Gothic" w:eastAsia="Century Gothic"/>
          <w:b w:val="0"/>
          <w:i w:val="0"/>
          <w:sz w:val="20"/>
        </w:rPr>
        <w:t>IFAC, IES 3, Desarrollo Profesional Inicial: Habilidades Profesionales (revisada, 2026).</w:t>
      </w:r>
    </w:p>
    <w:p>
      <w:pPr>
        <w:numPr>
          <w:ilvl w:val="0"/>
          <w:numId w:val="910"/>
        </w:numPr>
        <w:spacing w:before="0" w:after="160" w:line="240" w:lineRule="auto"/>
        <w:jc w:val="both"/>
      </w:pPr>
      <w:r>
        <w:rPr>
          <w:rFonts w:ascii="Century Gothic" w:hAnsi="Century Gothic" w:cs="Century Gothic" w:eastAsia="Century Gothic"/>
          <w:b w:val="0"/>
          <w:i w:val="0"/>
          <w:sz w:val="20"/>
        </w:rPr>
        <w:t>IFAC, IES 4, Valores, Ética y Actitudes Profesionales.</w:t>
      </w:r>
    </w:p>
    <w:p>
      <w:pPr>
        <w:numPr>
          <w:ilvl w:val="0"/>
          <w:numId w:val="910"/>
        </w:numPr>
        <w:spacing w:before="0" w:after="160" w:line="240" w:lineRule="auto"/>
        <w:jc w:val="both"/>
      </w:pPr>
      <w:r>
        <w:rPr>
          <w:rFonts w:ascii="Century Gothic" w:hAnsi="Century Gothic" w:cs="Century Gothic" w:eastAsia="Century Gothic"/>
          <w:b w:val="0"/>
          <w:i w:val="0"/>
          <w:sz w:val="20"/>
        </w:rPr>
        <w:t xml:space="preserve">Tobón, S. (2013). </w:t>
      </w:r>
      <w:r>
        <w:rPr>
          <w:rFonts w:ascii="Century Gothic" w:hAnsi="Century Gothic" w:cs="Century Gothic" w:eastAsia="Century Gothic"/>
          <w:b w:val="0"/>
          <w:i/>
          <w:sz w:val="20"/>
        </w:rPr>
        <w:t>Formación integral y competencias. Pensamiento complejo, currículo, didáctica y evaluación</w:t>
      </w:r>
      <w:r>
        <w:rPr>
          <w:rFonts w:ascii="Century Gothic" w:hAnsi="Century Gothic" w:cs="Century Gothic" w:eastAsia="Century Gothic"/>
          <w:b w:val="0"/>
          <w:i w:val="0"/>
          <w:sz w:val="20"/>
        </w:rPr>
        <w:t xml:space="preserve"> (4.ª ed.). Bogotá: Ecoe Ediciones.</w:t>
      </w:r>
    </w:p>
    <w:p>
      <w:pPr>
        <w:numPr>
          <w:ilvl w:val="0"/>
          <w:numId w:val="910"/>
        </w:numPr>
        <w:spacing w:before="0" w:after="200" w:line="240" w:lineRule="auto"/>
        <w:jc w:val="both"/>
      </w:pPr>
      <w:r>
        <w:rPr>
          <w:rFonts w:ascii="Century Gothic" w:hAnsi="Century Gothic" w:cs="Century Gothic" w:eastAsia="Century Gothic"/>
          <w:b w:val="0"/>
          <w:i w:val="0"/>
          <w:sz w:val="20"/>
        </w:rPr>
        <w:t xml:space="preserve">Tuning América Latina. Crédito Latinoamericano de Referencia (CLAR). Documento final, reproducido en </w:t>
      </w:r>
      <w:r>
        <w:rPr>
          <w:rFonts w:ascii="Century Gothic" w:hAnsi="Century Gothic" w:cs="Century Gothic" w:eastAsia="Century Gothic"/>
          <w:b w:val="0"/>
          <w:i/>
          <w:sz w:val="20"/>
        </w:rPr>
        <w:t>Revista de Investigación en Psicología</w:t>
      </w:r>
      <w:r>
        <w:rPr>
          <w:rFonts w:ascii="Century Gothic" w:hAnsi="Century Gothic" w:cs="Century Gothic" w:eastAsia="Century Gothic"/>
          <w:b w:val="0"/>
          <w:i w:val="0"/>
          <w:sz w:val="20"/>
        </w:rPr>
        <w:t>, 15(1), pp. 220-241.</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2"/>
    <w:lvlOverride w:ilvl="0">
      <w:startOverride w:val="1"/>
    </w:lvlOverride>
  </w:num>
  <w:num w:numId="902">
    <w:abstractNumId w:val="900"/>
    <w:lvlOverride w:ilvl="0">
      <w:startOverride w:val="1"/>
    </w:lvlOverride>
  </w:num>
  <w:num w:numId="903">
    <w:abstractNumId w:val="902"/>
    <w:lvlOverride w:ilvl="0">
      <w:startOverride w:val="1"/>
    </w:lvlOverride>
  </w:num>
  <w:num w:numId="904">
    <w:abstractNumId w:val="900"/>
    <w:lvlOverride w:ilvl="0">
      <w:startOverride w:val="1"/>
    </w:lvlOverride>
  </w:num>
  <w:num w:numId="905">
    <w:abstractNumId w:val="900"/>
    <w:lvlOverride w:ilvl="0">
      <w:startOverride w:val="1"/>
    </w:lvlOverride>
  </w:num>
  <w:num w:numId="906">
    <w:abstractNumId w:val="900"/>
    <w:lvlOverride w:ilvl="0">
      <w:startOverride w:val="1"/>
    </w:lvlOverride>
  </w:num>
  <w:num w:numId="907">
    <w:abstractNumId w:val="902"/>
    <w:lvlOverride w:ilvl="0">
      <w:startOverride w:val="1"/>
    </w:lvlOverride>
  </w:num>
  <w:num w:numId="908">
    <w:abstractNumId w:val="900"/>
    <w:lvlOverride w:ilvl="0">
      <w:startOverride w:val="1"/>
    </w:lvlOverride>
  </w:num>
  <w:num w:numId="909">
    <w:abstractNumId w:val="900"/>
    <w:lvlOverride w:ilvl="0">
      <w:startOverride w:val="1"/>
    </w:lvlOverride>
  </w:num>
  <w:num w:numId="910">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