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Yungas,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 y título en provisión nacional de Contador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 mujeres y 44 % varones; 1.589 estudiantes, el 48,9 %,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183 designaciones docentes, de las cuales 85 corresponden a docentes titulares y 98 a docentes interinos e invitados, con 82 docentes en ejercicio;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rPr>
        <w:t>La Carrera de Contaduría Pública cuenta con el Plan Estratégico de Desarrollo Institucional 2026-2030, que orienta su gestión hacia la formación de Contadores Públicos Autorizados con idoneidad técnica, capacidad crítica y liderazgo ético, en un contexto marcado por las tecnologías emergentes, la actualización de los marcos normativos contables y de aseguramiento, y la creciente exigencia social de transparencia y responsabilidad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2.3.1</w:t>
        <w:tab/>
      </w:r>
      <w:r>
        <w:rPr>
          <w:rFonts w:ascii="Century Gothic" w:hAnsi="Century Gothic" w:cs="Century Gothic" w:eastAsia="Century Gothic"/>
          <w:b/>
          <w:i w:val="0"/>
          <w:sz w:val="22"/>
        </w:rPr>
        <w:t>Marco normativo y alineación institucional</w:t>
      </w:r>
    </w:p>
    <w:p>
      <w:pPr>
        <w:spacing w:before="0" w:after="200" w:line="240" w:lineRule="auto"/>
        <w:jc w:val="both"/>
      </w:pPr>
      <w:r>
        <w:rPr>
          <w:rFonts w:ascii="Century Gothic" w:hAnsi="Century Gothic" w:cs="Century Gothic" w:eastAsia="Century Gothic"/>
          <w:b w:val="0"/>
          <w:i w:val="0"/>
          <w:sz w:val="20"/>
        </w:rPr>
        <w:t>El Plan se sustenta en los principios de autonomía universitaria y cogobierno paritario docente estudiantil, y se articula con los siguientes instrumentos:</w:t>
      </w:r>
    </w:p>
    <w:p>
      <w:pPr>
        <w:numPr>
          <w:ilvl w:val="0"/>
          <w:numId w:val="902"/>
        </w:numPr>
        <w:spacing w:before="0" w:after="160" w:line="240" w:lineRule="auto"/>
        <w:jc w:val="both"/>
      </w:pPr>
      <w:r>
        <w:rPr>
          <w:rFonts w:ascii="Century Gothic" w:hAnsi="Century Gothic" w:cs="Century Gothic" w:eastAsia="Century Gothic"/>
          <w:b/>
          <w:i w:val="0"/>
          <w:sz w:val="20"/>
        </w:rPr>
        <w:t>Reglamento de Innovación Curricular de la UMSA,</w:t>
      </w:r>
      <w:r>
        <w:rPr>
          <w:rFonts w:ascii="Century Gothic" w:hAnsi="Century Gothic" w:cs="Century Gothic" w:eastAsia="Century Gothic"/>
          <w:b w:val="0"/>
          <w:i w:val="0"/>
          <w:sz w:val="20"/>
        </w:rPr>
        <w:t xml:space="preserve"> aprobado por Resolución HCU N.º 032/2025, que establece los niveles de innovación curricular, los criterios de calidad y la estructura del plan de estudios, y que en su Artículo 12 exige que el plan de desarrollo de la Carrera esté alineado con el de la Universidad.</w:t>
      </w:r>
    </w:p>
    <w:p>
      <w:pPr>
        <w:numPr>
          <w:ilvl w:val="0"/>
          <w:numId w:val="902"/>
        </w:numPr>
        <w:spacing w:before="0" w:after="160" w:line="240" w:lineRule="auto"/>
        <w:jc w:val="both"/>
      </w:pPr>
      <w:r>
        <w:rPr>
          <w:rFonts w:ascii="Century Gothic" w:hAnsi="Century Gothic" w:cs="Century Gothic" w:eastAsia="Century Gothic"/>
          <w:b/>
          <w:i w:val="0"/>
          <w:sz w:val="20"/>
        </w:rPr>
        <w:t>Resolución N.º 07/2024 de la VI Conferencia Nacional Ordinaria de Universidades,</w:t>
      </w:r>
      <w:r>
        <w:rPr>
          <w:rFonts w:ascii="Century Gothic" w:hAnsi="Century Gothic" w:cs="Century Gothic" w:eastAsia="Century Gothic"/>
          <w:b w:val="0"/>
          <w:i w:val="0"/>
          <w:sz w:val="20"/>
        </w:rPr>
        <w:t xml:space="preserve"> que ratifica las conclusiones de la III-XIII Reunión Sectorial de las Carreras de Contaduría Pública y adopta el perfil del Contador Público Autorizado para el Sistema de la Universidad Boliviana.</w:t>
      </w:r>
    </w:p>
    <w:p>
      <w:pPr>
        <w:numPr>
          <w:ilvl w:val="0"/>
          <w:numId w:val="902"/>
        </w:numPr>
        <w:spacing w:before="0" w:after="160" w:line="240" w:lineRule="auto"/>
        <w:jc w:val="both"/>
      </w:pPr>
      <w:r>
        <w:rPr>
          <w:rFonts w:ascii="Century Gothic" w:hAnsi="Century Gothic" w:cs="Century Gothic" w:eastAsia="Century Gothic"/>
          <w:b/>
          <w:i w:val="0"/>
          <w:sz w:val="20"/>
        </w:rPr>
        <w:t>Normas Internacionales de Educación, IES 1 a IES 8, de la Federación Internacional de Contadores,</w:t>
      </w:r>
      <w:r>
        <w:rPr>
          <w:rFonts w:ascii="Century Gothic" w:hAnsi="Century Gothic" w:cs="Century Gothic" w:eastAsia="Century Gothic"/>
          <w:b w:val="0"/>
          <w:i w:val="0"/>
          <w:sz w:val="20"/>
        </w:rPr>
        <w:t xml:space="preserve"> que establecen las competencias técnicas, las habilidades profesionales, los valores, la ética y las actitudes que requiere el ejercicio de la profesión, así como el desarrollo profesional continuo.</w:t>
      </w:r>
    </w:p>
    <w:p>
      <w:pPr>
        <w:numPr>
          <w:ilvl w:val="0"/>
          <w:numId w:val="902"/>
        </w:numPr>
        <w:spacing w:before="0" w:after="200" w:line="240" w:lineRule="auto"/>
        <w:jc w:val="both"/>
      </w:pPr>
      <w:r>
        <w:rPr>
          <w:rFonts w:ascii="Century Gothic" w:hAnsi="Century Gothic" w:cs="Century Gothic" w:eastAsia="Century Gothic"/>
          <w:b/>
          <w:i w:val="0"/>
          <w:sz w:val="20"/>
          <w:highlight w:val="green"/>
        </w:rPr>
        <w:t>Plan Estratégico Institucional de la UMSA 2021-2025 con visión al 2030,</w:t>
      </w:r>
      <w:r>
        <w:rPr>
          <w:rFonts w:ascii="Century Gothic" w:hAnsi="Century Gothic" w:cs="Century Gothic" w:eastAsia="Century Gothic"/>
          <w:b w:val="0"/>
          <w:i w:val="0"/>
          <w:sz w:val="20"/>
          <w:highlight w:val="green"/>
        </w:rPr>
        <w:t xml:space="preserve"> aprobado mediante Resolución HCU N.º 355/2023, de 6 de septiembre de 2023, que organiza la acción universitaria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rPr>
        <w:t>Los cuatro ejes del Plan de Desarrollo de la Carrera corresponden a esas cuatro áreas del Plan Estratégico Institucional, y los seis ejes de los objetivos de la Carrera, descritos en el punto 2.4, se ejecutan a través de ellos:</w:t>
      </w:r>
    </w:p>
    <w:tbl>
      <w:tblPr>
        <w:tblW w:type="auto" w:w="0"/>
        <w:jc w:val="center"/>
        <w:tblLayout w:type="fixed"/>
        <w:tblLook w:firstColumn="1" w:firstRow="1" w:lastColumn="0" w:lastRow="0" w:noHBand="0" w:noVBand="1" w:val="04A0"/>
      </w:tblPr>
      <w:tblGrid>
        <w:gridCol w:w="2154"/>
        <w:gridCol w:w="3175"/>
        <w:gridCol w:w="3742"/>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del Plan de Desarrollo de la Carrera</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Objetivos de la Carrera relacionados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Formación profesional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1. Formación profesional de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Calidad y pertinencia curricular</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Internacionalización y movilidad global</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Investigación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2. Investigación científica, tecnológica e innovación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Investigación y pensamiento crítico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Interacción social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3. Interacción social, ética e integración institucional</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Vinculación práctica e interacción social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responsabilidad pública y gobernanza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Gestión institucional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4. Gestión de calidad, transformación digital y acreditación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Transformación digital e innovación</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2.3.2</w:t>
        <w:tab/>
      </w:r>
      <w:r>
        <w:rPr>
          <w:rFonts w:ascii="Century Gothic" w:hAnsi="Century Gothic" w:cs="Century Gothic" w:eastAsia="Century Gothic"/>
          <w:b/>
          <w:i w:val="0"/>
          <w:sz w:val="22"/>
        </w:rPr>
        <w:t>Diagnóstico estratégico</w:t>
      </w:r>
    </w:p>
    <w:p>
      <w:pPr>
        <w:spacing w:before="0" w:after="200" w:line="240" w:lineRule="auto"/>
        <w:jc w:val="both"/>
      </w:pPr>
      <w:r>
        <w:rPr>
          <w:rFonts w:ascii="Century Gothic" w:hAnsi="Century Gothic" w:cs="Century Gothic" w:eastAsia="Century Gothic"/>
          <w:b w:val="0"/>
          <w:i w:val="0"/>
          <w:sz w:val="20"/>
        </w:rPr>
        <w:t>El Plan parte de la evidencia recogida en el Diagnóstico de la Carrera y en los estudios de mercado laboral. Los principales hallazgos son los siguientes:</w:t>
      </w:r>
    </w:p>
    <w:p>
      <w:pPr>
        <w:numPr>
          <w:ilvl w:val="0"/>
          <w:numId w:val="903"/>
        </w:numPr>
        <w:spacing w:before="0" w:after="160" w:line="240" w:lineRule="auto"/>
        <w:jc w:val="both"/>
      </w:pPr>
      <w:r>
        <w:rPr>
          <w:rFonts w:ascii="Century Gothic" w:hAnsi="Century Gothic" w:cs="Century Gothic" w:eastAsia="Century Gothic"/>
          <w:b/>
          <w:i w:val="0"/>
          <w:sz w:val="20"/>
        </w:rPr>
        <w:t>Brecha tecnológica.</w:t>
      </w:r>
      <w:r>
        <w:rPr>
          <w:rFonts w:ascii="Century Gothic" w:hAnsi="Century Gothic" w:cs="Century Gothic" w:eastAsia="Century Gothic"/>
          <w:b w:val="0"/>
          <w:i w:val="0"/>
          <w:sz w:val="20"/>
        </w:rPr>
        <w:t xml:space="preserve"> El estudio de Ipsos CIESMORI de 2025 registra una brecha de 43 puntos porcentuales entre la necesidad laboral de habilidades tecnológicas básicas, que el 98 % de los egresados considera necesarias, y su aplicación durante la formación, que solo el 55 % reconoce; en las habilidades tecnológicas emergentes la brecha llega a 51 puntos. Además, el 75 % de los egresados demanda dominio de software contable, sistemas de planificación de recursos empresariales y herramientas de análisis de datos. El Future of Jobs Report 2025 del Foro Económico Mundial ubica a la inteligencia artificial y al análisis de grandes volúmenes de datos como las competencias de mayor crecimiento.</w:t>
      </w:r>
    </w:p>
    <w:p>
      <w:pPr>
        <w:numPr>
          <w:ilvl w:val="0"/>
          <w:numId w:val="903"/>
        </w:numPr>
        <w:spacing w:before="0" w:after="160" w:line="240" w:lineRule="auto"/>
        <w:jc w:val="both"/>
      </w:pPr>
      <w:r>
        <w:rPr>
          <w:rFonts w:ascii="Century Gothic" w:hAnsi="Century Gothic" w:cs="Century Gothic" w:eastAsia="Century Gothic"/>
          <w:b/>
          <w:i w:val="0"/>
          <w:sz w:val="20"/>
        </w:rPr>
        <w:t>Saturación del mercado tradicional.</w:t>
      </w:r>
      <w:r>
        <w:rPr>
          <w:rFonts w:ascii="Century Gothic" w:hAnsi="Century Gothic" w:cs="Century Gothic" w:eastAsia="Century Gothic"/>
          <w:b w:val="0"/>
          <w:i w:val="0"/>
          <w:sz w:val="20"/>
        </w:rPr>
        <w:t xml:space="preserve"> El 46 % de los egresados percibe saturación del mercado para el perfil limitado a la auditoría financiera clásica, mientras que más del 80 % de los ingresos de las firmas líderes proviene de consultoría de gestión, gestión integral de riesgos y servicios de sostenibilidad.</w:t>
      </w:r>
    </w:p>
    <w:p>
      <w:pPr>
        <w:numPr>
          <w:ilvl w:val="0"/>
          <w:numId w:val="903"/>
        </w:numPr>
        <w:spacing w:before="0" w:after="160" w:line="240" w:lineRule="auto"/>
        <w:jc w:val="both"/>
      </w:pPr>
      <w:r>
        <w:rPr>
          <w:rFonts w:ascii="Century Gothic" w:hAnsi="Century Gothic" w:cs="Century Gothic" w:eastAsia="Century Gothic"/>
          <w:b/>
          <w:i w:val="0"/>
          <w:sz w:val="20"/>
        </w:rPr>
        <w:t>Inserción laboral concentrada en niveles operativos.</w:t>
      </w:r>
      <w:r>
        <w:rPr>
          <w:rFonts w:ascii="Century Gothic" w:hAnsi="Century Gothic" w:cs="Century Gothic" w:eastAsia="Century Gothic"/>
          <w:b w:val="0"/>
          <w:i w:val="0"/>
          <w:sz w:val="20"/>
        </w:rPr>
        <w:t xml:space="preserve"> El 52 % de los graduados trabaja en relación de dependencia, pero el 77 % de ellos se ubica en niveles técnico operativos y solo el 23 % accede a cargos gerenciales. La auditoría interna es el principal campo de inserción, con el 35 %, y el 31 % de los egresados ejerce de forma independiente o como consultor.</w:t>
      </w:r>
    </w:p>
    <w:p>
      <w:pPr>
        <w:numPr>
          <w:ilvl w:val="0"/>
          <w:numId w:val="903"/>
        </w:numPr>
        <w:spacing w:before="0" w:after="160" w:line="240" w:lineRule="auto"/>
        <w:jc w:val="both"/>
      </w:pPr>
      <w:r>
        <w:rPr>
          <w:rFonts w:ascii="Century Gothic" w:hAnsi="Century Gothic" w:cs="Century Gothic" w:eastAsia="Century Gothic"/>
          <w:b/>
          <w:i w:val="0"/>
          <w:sz w:val="20"/>
        </w:rPr>
        <w:t>Formación ética.</w:t>
      </w:r>
      <w:r>
        <w:rPr>
          <w:rFonts w:ascii="Century Gothic" w:hAnsi="Century Gothic" w:cs="Century Gothic" w:eastAsia="Century Gothic"/>
          <w:b w:val="0"/>
          <w:i w:val="0"/>
          <w:sz w:val="20"/>
        </w:rPr>
        <w:t xml:space="preserve"> El 83 % de los estudiantes percibe un descuido en la vivencia de los valores éticos en la comunidad académica y el 82 % considera prioritaria la incorporación de la asignatura de Ética Contable Aplicada, según la encuesta del Instituto de Investigaciones de Ciencias Contables, Financieras y Auditoría de 2025.</w:t>
      </w:r>
    </w:p>
    <w:p>
      <w:pPr>
        <w:numPr>
          <w:ilvl w:val="0"/>
          <w:numId w:val="903"/>
        </w:numPr>
        <w:spacing w:before="0" w:after="160" w:line="240" w:lineRule="auto"/>
        <w:jc w:val="both"/>
      </w:pPr>
      <w:r>
        <w:rPr>
          <w:rFonts w:ascii="Century Gothic" w:hAnsi="Century Gothic" w:cs="Century Gothic" w:eastAsia="Century Gothic"/>
          <w:b/>
          <w:i w:val="0"/>
          <w:sz w:val="20"/>
        </w:rPr>
        <w:t>Formación práctica.</w:t>
      </w:r>
      <w:r>
        <w:rPr>
          <w:rFonts w:ascii="Century Gothic" w:hAnsi="Century Gothic" w:cs="Century Gothic" w:eastAsia="Century Gothic"/>
          <w:b w:val="0"/>
          <w:i w:val="0"/>
          <w:sz w:val="20"/>
        </w:rPr>
        <w:t xml:space="preserve"> La falta de experiencia práctica es la segunda barrera de contratación, con el 25 %, según la encuesta del BID de 2022, y el 88 % de los estudiantes demanda pasantías preprofesionales obligatorias y aprendizaje basado en proyectos reales.</w:t>
      </w:r>
    </w:p>
    <w:p>
      <w:pPr>
        <w:numPr>
          <w:ilvl w:val="0"/>
          <w:numId w:val="903"/>
        </w:numPr>
        <w:spacing w:before="0" w:after="200" w:line="240" w:lineRule="auto"/>
        <w:jc w:val="both"/>
      </w:pPr>
      <w:r>
        <w:rPr>
          <w:rFonts w:ascii="Century Gothic" w:hAnsi="Century Gothic" w:cs="Century Gothic" w:eastAsia="Century Gothic"/>
          <w:b/>
          <w:i w:val="0"/>
          <w:sz w:val="20"/>
        </w:rPr>
        <w:t>Habilidades blandas e idioma.</w:t>
      </w:r>
      <w:r>
        <w:rPr>
          <w:rFonts w:ascii="Century Gothic" w:hAnsi="Century Gothic" w:cs="Century Gothic" w:eastAsia="Century Gothic"/>
          <w:b w:val="0"/>
          <w:i w:val="0"/>
          <w:sz w:val="20"/>
        </w:rPr>
        <w:t xml:space="preserve"> Ipsos CIESMORI identifica brechas de 35 puntos porcentuales en gestión del tiempo y de 25 puntos en pensamiento crítico entre su necesidad laboral y su aplicación en la formación; el BID señala la falta de habilidades blandas como la principal barrera de contratación, con el 26 %, y el 89 % de los estudiantes identifica la demanda de idiomas y tecnología como una amenaza para su inserción laboral.</w:t>
      </w:r>
    </w:p>
    <w:p>
      <w:pPr>
        <w:spacing w:before="0" w:after="200" w:line="240" w:lineRule="auto"/>
        <w:jc w:val="both"/>
      </w:pPr>
      <w:r>
        <w:rPr>
          <w:rFonts w:ascii="Century Gothic" w:hAnsi="Century Gothic" w:cs="Century Gothic" w:eastAsia="Century Gothic"/>
          <w:b w:val="0"/>
          <w:i w:val="0"/>
          <w:sz w:val="20"/>
        </w:rPr>
        <w:t>A partir de estos hallazgos se construyó la siguiente matriz FODA cruzada:</w:t>
      </w:r>
    </w:p>
    <w:p>
      <w:pPr>
        <w:keepNext/>
        <w:spacing w:before="40" w:after="80" w:line="240" w:lineRule="auto"/>
        <w:jc w:val="center"/>
      </w:pPr>
      <w:r>
        <w:rPr>
          <w:rFonts w:ascii="Century Gothic" w:hAnsi="Century Gothic" w:cs="Century Gothic" w:eastAsia="Century Gothic"/>
          <w:b/>
          <w:i w:val="0"/>
          <w:sz w:val="20"/>
        </w:rPr>
        <w:t>Cuadro 1. Matriz FODA cruzada de la Carrera</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Oportunidades</w:t>
            </w: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Amenazas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Factores externos</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de servicios de sostenibilidad bajo las NIIF S1 y S2 y de aseguramiento de información no financiera bajo la NIEA 3000 y la NIAS 5000</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Crecimiento de la inteligencia artificial y la analítica de datos en finanzas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88 % por pasantías y aprendizaje basado en proyectos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82 % por formación ética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Percepción de saturación del 46 % en el mercado de auditoría financiera tradicional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Automatización de las tareas transaccionales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Barreras de contratación por falta de experiencia, del 25 %, y de habilidades blandas, del 26 %</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77 % de egresados dependientes en cargos técnico operativos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Fortalezas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Prestigio de la UMSA como referente académico nacional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Marco normativo renovado: Res. HCU 032/2025 y Res. 07/2024</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Docentes con amplia trayectoria contable, financiera y tributaria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Instituto de investigación propio</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Liderar la formación en inteligencia artificial, analítica de datos y reportes de sostenibilidad con el nuevo plan de estudios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Implementar un programa de pasantías preprofesionales obligatorias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Posicionar al Instituto en investigación sobre aseguramiento de información no financiera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Diversificar el perfil hacia auditoría forense, gestión integral de riesgos y consultoría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Certificar competencias de pensamiento crítico y liderazgo para superar el sesgo técnico operativo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los estándares de la IFAC y del IESBA en el ejercicio independiente</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Debilidades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Brecha de 43 a 51 puntos porcentuales en habilidades tecnológicas de los egresados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83 % de percepción de descuido en la vivencia de valores éticos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Enseñanza memorística con limitada simulación práctica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Escasa formación en inglés técnico contable</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Equipar los laboratorios con software de planificación de recursos empresariales y herramientas de análisis de datos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el aprendizaje basado en proyectos en la enseñanza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la asignatura de Ética Contable Aplicada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Reemplazar la evaluación memorística por evaluación auténtica con portafolios y simuladores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el inglés técnico contable de forma transversal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Ejecutar un plan de actualización docente en tecnologías de la información e inteligencia artificial</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2.3.3</w:t>
        <w:tab/>
      </w:r>
      <w:r>
        <w:rPr>
          <w:rFonts w:ascii="Century Gothic" w:hAnsi="Century Gothic" w:cs="Century Gothic" w:eastAsia="Century Gothic"/>
          <w:b/>
          <w:i w:val="0"/>
          <w:sz w:val="22"/>
        </w:rPr>
        <w:t>Ejes estratégicos y programas 2026-2030</w:t>
      </w:r>
    </w:p>
    <w:p>
      <w:pPr>
        <w:keepNext/>
        <w:spacing w:before="40" w:after="200" w:line="240" w:lineRule="auto"/>
        <w:jc w:val="left"/>
      </w:pPr>
      <w:r>
        <w:rPr>
          <w:rFonts w:ascii="Century Gothic" w:hAnsi="Century Gothic" w:cs="Century Gothic" w:eastAsia="Century Gothic"/>
          <w:b/>
          <w:i w:val="0"/>
          <w:sz w:val="22"/>
        </w:rPr>
        <w:t>Eje 1. Formación profesional de grado y postgrado</w:t>
      </w:r>
    </w:p>
    <w:p>
      <w:pPr>
        <w:spacing w:before="0" w:after="200" w:line="240" w:lineRule="auto"/>
        <w:jc w:val="both"/>
      </w:pPr>
      <w:r>
        <w:rPr>
          <w:rFonts w:ascii="Century Gothic" w:hAnsi="Century Gothic" w:cs="Century Gothic" w:eastAsia="Century Gothic"/>
          <w:b w:val="0"/>
          <w:i w:val="0"/>
          <w:sz w:val="20"/>
        </w:rPr>
        <w:t>Este eje pone en marcha el nuevo plan de estudios, con 43 asignaturas distribuidas en cinco años y 6.000 horas académicas. El plan prevé la titulación intermedia de Contador General al concluir el tercer año y aprobar un examen de grado, la enseñanza transversal del inglés técnico contable en los últimos años y la articulación entre el grado y el postgrado mediante el diplomado como modalidad de graduación. Sus acciones prioritarias son:</w:t>
      </w:r>
    </w:p>
    <w:p>
      <w:pPr>
        <w:numPr>
          <w:ilvl w:val="0"/>
          <w:numId w:val="904"/>
        </w:numPr>
        <w:spacing w:before="0" w:after="160" w:line="240" w:lineRule="auto"/>
        <w:jc w:val="both"/>
      </w:pPr>
      <w:r>
        <w:rPr>
          <w:rFonts w:ascii="Century Gothic" w:hAnsi="Century Gothic" w:cs="Century Gothic" w:eastAsia="Century Gothic"/>
          <w:b w:val="0"/>
          <w:i w:val="0"/>
          <w:sz w:val="20"/>
        </w:rPr>
        <w:t>Implementación de las nuevas asignaturas especializadas, como CPA-406 Ética e Independencia Profesional, CPA-505 Auditoría Digital, Ciberseguridad y Tecnologías Emergentes, CPA-506 Reportes y Aseguramiento de Sostenibilidad y Auditoría Ambiental, y CPA-508 Auditoría Forense, Peritaje y Prevención de Delitos Económicos.</w:t>
      </w:r>
    </w:p>
    <w:p>
      <w:pPr>
        <w:numPr>
          <w:ilvl w:val="0"/>
          <w:numId w:val="904"/>
        </w:numPr>
        <w:spacing w:before="0" w:after="160" w:line="240" w:lineRule="auto"/>
        <w:jc w:val="both"/>
      </w:pPr>
      <w:r>
        <w:rPr>
          <w:rFonts w:ascii="Century Gothic" w:hAnsi="Century Gothic" w:cs="Century Gothic" w:eastAsia="Century Gothic"/>
          <w:b w:val="0"/>
          <w:i w:val="0"/>
          <w:sz w:val="20"/>
        </w:rPr>
        <w:t>Reglamentación de los exámenes de grado para la titulación intermedia de Contador General.</w:t>
      </w:r>
    </w:p>
    <w:p>
      <w:pPr>
        <w:numPr>
          <w:ilvl w:val="0"/>
          <w:numId w:val="904"/>
        </w:numPr>
        <w:spacing w:before="0" w:after="160" w:line="240" w:lineRule="auto"/>
        <w:jc w:val="both"/>
      </w:pPr>
      <w:r>
        <w:rPr>
          <w:rFonts w:ascii="Century Gothic" w:hAnsi="Century Gothic" w:cs="Century Gothic" w:eastAsia="Century Gothic"/>
          <w:b w:val="0"/>
          <w:i w:val="0"/>
          <w:sz w:val="20"/>
        </w:rPr>
        <w:t>Inclusión progresiva de bibliografía, casos de estudio y guías en inglés en los programas de las asignaturas.</w:t>
      </w:r>
    </w:p>
    <w:p>
      <w:pPr>
        <w:numPr>
          <w:ilvl w:val="0"/>
          <w:numId w:val="904"/>
        </w:numPr>
        <w:spacing w:before="0" w:after="200" w:line="240" w:lineRule="auto"/>
        <w:jc w:val="both"/>
      </w:pPr>
      <w:r>
        <w:rPr>
          <w:rFonts w:ascii="Century Gothic" w:hAnsi="Century Gothic" w:cs="Century Gothic" w:eastAsia="Century Gothic"/>
          <w:b w:val="0"/>
          <w:i w:val="0"/>
          <w:sz w:val="20"/>
        </w:rPr>
        <w:t>Implementación de diplomados de titulación en Tributación Internacional, Auditoría Digital y Gestión Integral de Riesgos.</w:t>
      </w:r>
    </w:p>
    <w:p>
      <w:pPr>
        <w:keepNext/>
        <w:spacing w:before="40" w:after="200" w:line="240" w:lineRule="auto"/>
        <w:jc w:val="left"/>
      </w:pPr>
      <w:r>
        <w:rPr>
          <w:rFonts w:ascii="Century Gothic" w:hAnsi="Century Gothic" w:cs="Century Gothic" w:eastAsia="Century Gothic"/>
          <w:b/>
          <w:i w:val="0"/>
          <w:sz w:val="22"/>
        </w:rPr>
        <w:t>Eje 2. Investigación científica, tecnológica e innovación</w:t>
      </w:r>
    </w:p>
    <w:p>
      <w:pPr>
        <w:spacing w:before="0" w:after="200" w:line="240" w:lineRule="auto"/>
        <w:jc w:val="both"/>
      </w:pPr>
      <w:r>
        <w:rPr>
          <w:rFonts w:ascii="Century Gothic" w:hAnsi="Century Gothic" w:cs="Century Gothic" w:eastAsia="Century Gothic"/>
          <w:b w:val="0"/>
          <w:i w:val="0"/>
          <w:sz w:val="20"/>
        </w:rPr>
        <w:t>Este eje fortalece la investigación aplicada del Instituto de Investigaciones de Ciencias Contables, Financieras y Auditoría en cuatro líneas prioritarias: auditoría digital y gobernanza de datos; reportes de sostenibilidad y aseguramiento de información no financiera; auditoría forense y prevención de delitos económicos; y fiscalidad internacional y precios de transferencia. Los resultados se traducirán en documentos de política pública dirigidos al Servicio de Impuestos Nacionales, la Contraloría General del Estado y el Colegio de Auditores o Contadores Públicos de Bolivia.</w:t>
      </w:r>
    </w:p>
    <w:p>
      <w:pPr>
        <w:keepNext/>
        <w:spacing w:before="40" w:after="200" w:line="240" w:lineRule="auto"/>
        <w:jc w:val="left"/>
      </w:pPr>
      <w:r>
        <w:rPr>
          <w:rFonts w:ascii="Century Gothic" w:hAnsi="Century Gothic" w:cs="Century Gothic" w:eastAsia="Century Gothic"/>
          <w:b/>
          <w:i w:val="0"/>
          <w:sz w:val="22"/>
        </w:rPr>
        <w:t>Eje 3. Interacción social, ética e integración institucional</w:t>
      </w:r>
    </w:p>
    <w:p>
      <w:pPr>
        <w:spacing w:before="0" w:after="200" w:line="240" w:lineRule="auto"/>
        <w:jc w:val="both"/>
      </w:pPr>
      <w:r>
        <w:rPr>
          <w:rFonts w:ascii="Century Gothic" w:hAnsi="Century Gothic" w:cs="Century Gothic" w:eastAsia="Century Gothic"/>
          <w:b w:val="0"/>
          <w:i w:val="0"/>
          <w:sz w:val="20"/>
        </w:rPr>
        <w:t>Este eje vincula a la comunidad universitaria con su entorno mediante tres programas: la adopción del Código Internacional de Ética del IESBA en las actividades académicas, de investigación y de interacción social; las pasantías preprofesionales obligatorias desde el tercer año, mediante convenios con firmas de auditoría, el Servicio de Impuestos Nacionales, la Contraloría General del Estado y empresas del sector productivo; y la consultoría social contable, con gabinetes de docentes y estudiantes que brinden asesoría gratuita en contabilidad, tributación y educación financiera a pequeñas y medianas empresas, asociaciones comunitarias y emprendimientos.</w:t>
      </w:r>
    </w:p>
    <w:p>
      <w:pPr>
        <w:keepNext/>
        <w:spacing w:before="40" w:after="200" w:line="240" w:lineRule="auto"/>
        <w:jc w:val="left"/>
      </w:pPr>
      <w:r>
        <w:rPr>
          <w:rFonts w:ascii="Century Gothic" w:hAnsi="Century Gothic" w:cs="Century Gothic" w:eastAsia="Century Gothic"/>
          <w:b/>
          <w:i w:val="0"/>
          <w:sz w:val="22"/>
        </w:rPr>
        <w:t>Eje 4. Gestión de calidad, transformación digital y acreditación</w:t>
      </w:r>
    </w:p>
    <w:p>
      <w:pPr>
        <w:spacing w:before="0" w:after="200" w:line="240" w:lineRule="auto"/>
        <w:jc w:val="both"/>
      </w:pPr>
      <w:r>
        <w:rPr>
          <w:rFonts w:ascii="Century Gothic" w:hAnsi="Century Gothic" w:cs="Century Gothic" w:eastAsia="Century Gothic"/>
          <w:b w:val="0"/>
          <w:i w:val="0"/>
          <w:sz w:val="20"/>
        </w:rPr>
        <w:t>Este eje comprende el equipamiento de los laboratorios de cómputo con software de planificación de recursos empresariales, herramientas de inteligencia de negocios y lenguajes de programación aplicados a las finanzas; la actualización docente en tecnologías de la información, inteligencia artificial y evaluación por competencias, conforme a la Resolución HCU N.º 032/2025; y el proceso de autoevaluación para la reacreditación ante el Comité Ejecutivo de la Universidad Boliviana y la acreditación internacional en el sistema ARCU-SUR.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2.3.4</w:t>
        <w:tab/>
      </w:r>
      <w:r>
        <w:rPr>
          <w:rFonts w:ascii="Century Gothic" w:hAnsi="Century Gothic" w:cs="Century Gothic" w:eastAsia="Century Gothic"/>
          <w:b/>
          <w:i w:val="0"/>
          <w:sz w:val="22"/>
        </w:rPr>
        <w:t>Indicadores y metas 2026-2030</w:t>
      </w:r>
    </w:p>
    <w:p>
      <w:pPr>
        <w:keepNext/>
        <w:spacing w:before="40" w:after="80" w:line="240" w:lineRule="auto"/>
        <w:jc w:val="center"/>
      </w:pPr>
      <w:r>
        <w:rPr>
          <w:rFonts w:ascii="Century Gothic" w:hAnsi="Century Gothic" w:cs="Century Gothic" w:eastAsia="Century Gothic"/>
          <w:b/>
          <w:i w:val="0"/>
          <w:sz w:val="20"/>
        </w:rPr>
        <w:t>Cuadro 2. Matriz de indicadores y metas del Plan de Desarrollo</w:t>
      </w:r>
    </w:p>
    <w:tbl>
      <w:tblPr>
        <w:tblW w:type="auto" w:w="0"/>
        <w:jc w:val="center"/>
        <w:tblLayout w:type="fixed"/>
        <w:tblLook w:firstColumn="1" w:firstRow="1" w:lastColumn="0" w:lastRow="0" w:noHBand="0" w:noVBand="1" w:val="04A0"/>
      </w:tblPr>
      <w:tblGrid>
        <w:gridCol w:w="794"/>
        <w:gridCol w:w="1587"/>
        <w:gridCol w:w="2041"/>
        <w:gridCol w:w="1474"/>
        <w:gridCol w:w="1814"/>
        <w:gridCol w:w="1361"/>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Eje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Programa</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Indicador</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Línea base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Meta 2030</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Responsable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Renovación curricular y titulación intermedia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asignaturas del nuevo plan implementadas, con titulación intermedia reglamentada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las 43 asignaturas implementadas y titulación de Contador General activa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técnico contable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que acreditan competencia en inglés técnico contable</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con suficiencia acreditada al concluir el grado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Titulación mediante diplomado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graduados titulados por la modalidad de diplomado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40 % de los graduados anuales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Postgrado y 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Investigación aplicada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Publicaciones indexadas y documentos de política pública en las cuatro líneas prioritarias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publicaciones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publicaciones indexadas y 5 documentos de política pública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Instituto de Investigaciones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Pasantías preprofesionales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de tercer a quinto año con pasantías por convenio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habilitados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Formación ética y consultoría social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formados en el Código del IESBA y participantes en la consultoría social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83 % de estudiantes percibe descuido ético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formados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Laboratorios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laboratorios con software de gestión empresarial y de análisis de datos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laboratorios con licencias y herramientas analíticas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Actualización docente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docentes capacitados en tecnologías de la información, inteligencia artificial y enseñanza por competencias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docentes capacitados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la acreditación de la Carrera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de 2015 por renovar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Reacreditación ante el CEUB y acreditación ARCU-SUR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Decanato y Dirección de Carrera</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 Las líneas base marcadas como por establecer deben medirse al inicio de la implementación.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5"/>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5"/>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5"/>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5"/>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5"/>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5"/>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 conforme se detalla en 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80 horas mensuales para cada uno de sus dos docentes investigadores, que ejecutan los proyectos de investigación.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6"/>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6"/>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6"/>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6"/>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6"/>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6"/>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6"/>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6"/>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6"/>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6"/>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las del personal a contrato, en los términos de referencia de los contratos suscritos.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3.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4.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 xml:space="preserve">La Carrera desarrolla sus actividades académicas, administrativas y de atención a la comunidad universitaria con </w:t>
      </w:r>
      <w:r>
        <w:rPr>
          <w:rFonts w:ascii="Century Gothic" w:hAnsi="Century Gothic" w:cs="Century Gothic" w:eastAsia="Century Gothic"/>
          <w:b/>
          <w:i w:val="0"/>
          <w:sz w:val="20"/>
        </w:rPr>
        <w:t>23 servidores administrativos</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10 de planta</w:t>
      </w:r>
      <w:r>
        <w:rPr>
          <w:rFonts w:ascii="Century Gothic" w:hAnsi="Century Gothic" w:cs="Century Gothic" w:eastAsia="Century Gothic"/>
          <w:b w:val="0"/>
          <w:i w:val="0"/>
          <w:sz w:val="20"/>
        </w:rPr>
        <w:t xml:space="preserve">, que representan el 43,48 %, y </w:t>
      </w:r>
      <w:r>
        <w:rPr>
          <w:rFonts w:ascii="Century Gothic" w:hAnsi="Century Gothic" w:cs="Century Gothic" w:eastAsia="Century Gothic"/>
          <w:b/>
          <w:i w:val="0"/>
          <w:sz w:val="20"/>
        </w:rPr>
        <w:t>13 contratados</w:t>
      </w:r>
      <w:r>
        <w:rPr>
          <w:rFonts w:ascii="Century Gothic" w:hAnsi="Century Gothic" w:cs="Century Gothic" w:eastAsia="Century Gothic"/>
          <w:b w:val="0"/>
          <w:i w:val="0"/>
          <w:sz w:val="20"/>
        </w:rPr>
        <w:t>,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5.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PETAENG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PETAENG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PETAENG: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6.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7.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Sumatoria total según el Cuadro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82</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Cuadros 7 y 8 permiten establecer lo siguiente:</w:t>
      </w:r>
    </w:p>
    <w:p>
      <w:pPr>
        <w:numPr>
          <w:ilvl w:val="0"/>
          <w:numId w:val="907"/>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7"/>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7"/>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9. Docentes por áreas y categoría, expresado en cantidad</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r>
    </w:tbl>
    <w:p>
      <w:pPr>
        <w:spacing w:before="40" w:after="200" w:line="240" w:lineRule="auto"/>
        <w:jc w:val="left"/>
      </w:pPr>
      <w:r>
        <w:rPr>
          <w:rFonts w:ascii="Century Gothic" w:hAnsi="Century Gothic" w:cs="Century Gothic" w:eastAsia="Century Gothic"/>
          <w:b w:val="0"/>
          <w:i w:val="0"/>
          <w:sz w:val="16"/>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10.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9.</w:t>
      </w:r>
    </w:p>
    <w:p>
      <w:pPr>
        <w:spacing w:before="0" w:after="200" w:line="240" w:lineRule="auto"/>
        <w:jc w:val="both"/>
      </w:pPr>
      <w:r>
        <w:rPr>
          <w:rFonts w:ascii="Century Gothic" w:hAnsi="Century Gothic" w:cs="Century Gothic" w:eastAsia="Century Gothic"/>
          <w:b w:val="0"/>
          <w:i w:val="0"/>
          <w:sz w:val="20"/>
        </w:rPr>
        <w:t>Según los Cuadros 9 y 10,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11.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11 se establece lo siguiente:</w:t>
      </w:r>
    </w:p>
    <w:p>
      <w:pPr>
        <w:numPr>
          <w:ilvl w:val="0"/>
          <w:numId w:val="908"/>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8"/>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8"/>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11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12.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12,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13.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13,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1"/>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