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Admisión, Promoción y Graduación</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5.</w:t>
        <w:tab/>
      </w:r>
      <w:r>
        <w:rPr>
          <w:rFonts w:ascii="Century Gothic" w:hAnsi="Century Gothic" w:cs="Century Gothic" w:eastAsia="Century Gothic"/>
          <w:b/>
          <w:i w:val="0"/>
          <w:sz w:val="24"/>
        </w:rPr>
        <w:t>Admisión, promoción y graduación</w:t>
      </w:r>
    </w:p>
    <w:p>
      <w:pPr>
        <w:spacing w:before="0" w:after="200" w:line="240" w:lineRule="auto"/>
        <w:jc w:val="both"/>
      </w:pPr>
      <w:r>
        <w:rPr>
          <w:rFonts w:ascii="Century Gothic" w:hAnsi="Century Gothic" w:cs="Century Gothic" w:eastAsia="Century Gothic"/>
          <w:b w:val="0"/>
          <w:i w:val="0"/>
          <w:sz w:val="20"/>
        </w:rPr>
        <w:t>Este punto establece las condiciones de admisión, permanencia, promoción y graduación del Plan de Estudios 2027. Para cada proceso se resume el diagnóstico de la situación actual y se definen las medidas del nuevo plan, orientadas a reducir la deserción temprana, flexibilizar la promoción y agilizar la graduación, en concordancia con el Reglamento del Régimen Estudiantil de la Universidad Boliviana, la normativa de la UMSA y la IES 1 de la IFAC.</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5.1</w:t>
        <w:tab/>
      </w:r>
      <w:r>
        <w:rPr>
          <w:rFonts w:ascii="Century Gothic" w:hAnsi="Century Gothic" w:cs="Century Gothic" w:eastAsia="Century Gothic"/>
          <w:b/>
          <w:i w:val="0"/>
          <w:sz w:val="24"/>
        </w:rPr>
        <w:t>Perfil del postulante</w:t>
      </w:r>
    </w:p>
    <w:p>
      <w:pPr>
        <w:spacing w:before="0" w:after="200" w:line="240" w:lineRule="auto"/>
        <w:jc w:val="both"/>
      </w:pPr>
      <w:r>
        <w:rPr>
          <w:rFonts w:ascii="Century Gothic" w:hAnsi="Century Gothic" w:cs="Century Gothic" w:eastAsia="Century Gothic"/>
          <w:b w:val="0"/>
          <w:i w:val="0"/>
          <w:sz w:val="20"/>
        </w:rPr>
        <w:t>El postulante a la Carrera de Contaduría Pública es un bachiller con vocación por las ciencias económicas, contables y financieras, que posee:</w:t>
      </w:r>
    </w:p>
    <w:p>
      <w:pPr>
        <w:numPr>
          <w:ilvl w:val="0"/>
          <w:numId w:val="901"/>
        </w:numPr>
        <w:spacing w:before="0" w:after="160" w:line="240" w:lineRule="auto"/>
        <w:jc w:val="both"/>
      </w:pPr>
      <w:r>
        <w:rPr>
          <w:rFonts w:ascii="Century Gothic" w:hAnsi="Century Gothic" w:cs="Century Gothic" w:eastAsia="Century Gothic"/>
          <w:b/>
          <w:i w:val="0"/>
          <w:sz w:val="20"/>
        </w:rPr>
        <w:t>Base cognitiva:</w:t>
      </w:r>
      <w:r>
        <w:rPr>
          <w:rFonts w:ascii="Century Gothic" w:hAnsi="Century Gothic" w:cs="Century Gothic" w:eastAsia="Century Gothic"/>
          <w:b w:val="0"/>
          <w:i w:val="0"/>
          <w:sz w:val="20"/>
        </w:rPr>
        <w:t xml:space="preserve"> conocimientos básicos de matemáticas, como aritmética, álgebra y lógica matemática; de lenguaje, como gramática, ortografía, comprensión lectora y redacción; y una noción elemental del entorno socioeconómico nacional y de la profesión contable.</w:t>
      </w:r>
    </w:p>
    <w:p>
      <w:pPr>
        <w:numPr>
          <w:ilvl w:val="0"/>
          <w:numId w:val="901"/>
        </w:numPr>
        <w:spacing w:before="0" w:after="160" w:line="240" w:lineRule="auto"/>
        <w:jc w:val="both"/>
      </w:pPr>
      <w:r>
        <w:rPr>
          <w:rFonts w:ascii="Century Gothic" w:hAnsi="Century Gothic" w:cs="Century Gothic" w:eastAsia="Century Gothic"/>
          <w:b/>
          <w:i w:val="0"/>
          <w:sz w:val="20"/>
        </w:rPr>
        <w:t>Aptitudes analíticas y cuantitativas:</w:t>
      </w:r>
      <w:r>
        <w:rPr>
          <w:rFonts w:ascii="Century Gothic" w:hAnsi="Century Gothic" w:cs="Century Gothic" w:eastAsia="Century Gothic"/>
          <w:b w:val="0"/>
          <w:i w:val="0"/>
          <w:sz w:val="20"/>
        </w:rPr>
        <w:t xml:space="preserve"> razonamiento lógico deductivo, aptitud para resolver problemas numéricos, habilidad para la comunicación oral y escrita y disposición para aprender tecnologías de la información e idiomas, en particular el inglés.</w:t>
      </w:r>
    </w:p>
    <w:p>
      <w:pPr>
        <w:numPr>
          <w:ilvl w:val="0"/>
          <w:numId w:val="901"/>
        </w:numPr>
        <w:spacing w:before="0" w:after="200" w:line="240" w:lineRule="auto"/>
        <w:jc w:val="both"/>
      </w:pPr>
      <w:r>
        <w:rPr>
          <w:rFonts w:ascii="Century Gothic" w:hAnsi="Century Gothic" w:cs="Century Gothic" w:eastAsia="Century Gothic"/>
          <w:b/>
          <w:i w:val="0"/>
          <w:sz w:val="20"/>
        </w:rPr>
        <w:t>Actitudes y valores:</w:t>
      </w:r>
      <w:r>
        <w:rPr>
          <w:rFonts w:ascii="Century Gothic" w:hAnsi="Century Gothic" w:cs="Century Gothic" w:eastAsia="Century Gothic"/>
          <w:b w:val="0"/>
          <w:i w:val="0"/>
          <w:sz w:val="20"/>
        </w:rPr>
        <w:t xml:space="preserve"> integridad personal, conducta ética, compromiso con la transparencia, disposición para el trabajo colaborativo, disciplina de estudio, espíritu reflexivo y propositivo, y responsabilidad social.</w:t>
      </w:r>
    </w:p>
    <w:p>
      <w:pPr>
        <w:spacing w:before="0" w:after="200" w:line="240" w:lineRule="auto"/>
        <w:jc w:val="both"/>
      </w:pPr>
      <w:r>
        <w:rPr>
          <w:rFonts w:ascii="Century Gothic" w:hAnsi="Century Gothic" w:cs="Century Gothic" w:eastAsia="Century Gothic"/>
          <w:b w:val="0"/>
          <w:i w:val="0"/>
          <w:sz w:val="20"/>
        </w:rPr>
        <w:t>El diagnóstico identifica una brecha entre las competencias del bachiller promedio y las exigencias de la Carrera, especialmente en competencias digitales, manejo de hojas de cálculo, pensamiento analítico y nociones contables, que el nuevo plan atiende mediante la evaluación diagnóstica y la nivelación descritas en el punto 5.2.</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5.2</w:t>
        <w:tab/>
      </w:r>
      <w:r>
        <w:rPr>
          <w:rFonts w:ascii="Century Gothic" w:hAnsi="Century Gothic" w:cs="Century Gothic" w:eastAsia="Century Gothic"/>
          <w:b/>
          <w:i w:val="0"/>
          <w:sz w:val="24"/>
        </w:rPr>
        <w:t>Modalidades de admisión</w:t>
      </w:r>
    </w:p>
    <w:p>
      <w:pPr>
        <w:spacing w:before="0" w:after="200" w:line="240" w:lineRule="auto"/>
        <w:jc w:val="both"/>
      </w:pPr>
      <w:r>
        <w:rPr>
          <w:rFonts w:ascii="Century Gothic" w:hAnsi="Century Gothic" w:cs="Century Gothic" w:eastAsia="Century Gothic"/>
          <w:b w:val="0"/>
          <w:i w:val="0"/>
          <w:sz w:val="20"/>
        </w:rPr>
        <w:t>La admisión se rige por el Reglamento del Régimen Estudiantil de la Universidad Boliviana y por el Reglamento de Admisión Facultativa aprobado mediante Resolución HCU N.º 184/98, de 9 de septiembre de 1998. En el marco de la gratuidad, la equidad, la transparencia y la meritocracia, la Carrera reconoce tres modalidades de admisión:</w:t>
      </w:r>
    </w:p>
    <w:p>
      <w:pPr>
        <w:keepNext/>
        <w:spacing w:before="40" w:after="80" w:line="240" w:lineRule="auto"/>
        <w:jc w:val="center"/>
      </w:pPr>
      <w:r>
        <w:rPr>
          <w:rFonts w:ascii="Century Gothic" w:hAnsi="Century Gothic" w:cs="Century Gothic" w:eastAsia="Century Gothic"/>
          <w:b/>
          <w:i w:val="0"/>
          <w:sz w:val="20"/>
        </w:rPr>
        <w:t>Cuadro 1. Modalidades de admisión</w:t>
      </w:r>
    </w:p>
    <w:tbl>
      <w:tblPr>
        <w:tblW w:type="auto" w:w="0"/>
        <w:jc w:val="center"/>
        <w:tblLayout w:type="fixed"/>
        <w:tblLook w:firstColumn="1" w:firstRow="1" w:lastColumn="0" w:lastRow="0" w:noHBand="0" w:noVBand="1" w:val="04A0"/>
      </w:tblPr>
      <w:tblGrid>
        <w:gridCol w:w="2551"/>
        <w:gridCol w:w="6520"/>
      </w:tblGrid>
      <w:tr>
        <w:trPr>
          <w:tblHeader/>
        </w:trPr>
        <w:tc>
          <w:tcPr>
            <w:tcW w:type="dxa" w:w="255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Modalidad</w:t>
            </w:r>
          </w:p>
        </w:tc>
        <w:tc>
          <w:tcPr>
            <w:tcW w:type="dxa" w:w="65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Descripción</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Prueba de Suficiencia Académica, PSA</w:t>
            </w:r>
          </w:p>
        </w:tc>
        <w:tc>
          <w:tcPr>
            <w:tcW w:type="dxa" w:w="65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Evaluación presencial de conocimientos básicos de matemáticas, lenguaje, lógica y entorno socioeconómico, que habilita al bachiller para iniciar estudios sin cursar el curso prefacultativo</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Curso Prefacultativo, CPF</w:t>
            </w:r>
          </w:p>
        </w:tc>
        <w:tc>
          <w:tcPr>
            <w:tcW w:type="dxa" w:w="65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Programa intensivo de nivelación que fortalece las capacidades, las aptitudes y el razonamiento lógico de los postulantes, con clases, pruebas parciales, trabajos prácticos y una evaluación final</w:t>
            </w:r>
          </w:p>
        </w:tc>
      </w:tr>
      <w:tr>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Admisión Especial, AE</w:t>
            </w:r>
          </w:p>
        </w:tc>
        <w:tc>
          <w:tcPr>
            <w:tcW w:type="dxa" w:w="65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Procedimiento que exime de la PSA o del CPF a quienes acreditan, entre otros: título de licenciatura o de técnico superior del Sistema de la Universidad Boliviana; egreso de colegios militares, de la Universidad Policial o de escuelas superiores de formación de maestros; excelencia académica como bachiller; premios en olimpiadas científicas, culturales o deportivas; o pertenencia a programas de inclusión de pueblos indígena originarios o de personas con discapacidad, conforme a la normativa de la UMSA y del Sistema</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Conforme a la normativa universitaria, la Carrera no reconoce otras modalidades de ingreso, lo que garantiza la igualdad de oportunidades para todos los postulantes.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5.2.1</w:t>
        <w:tab/>
      </w:r>
      <w:r>
        <w:rPr>
          <w:rFonts w:ascii="Century Gothic" w:hAnsi="Century Gothic" w:cs="Century Gothic" w:eastAsia="Century Gothic"/>
          <w:b/>
          <w:i w:val="0"/>
          <w:sz w:val="22"/>
        </w:rPr>
        <w:t>Problemas identificados</w:t>
      </w:r>
    </w:p>
    <w:p>
      <w:pPr>
        <w:numPr>
          <w:ilvl w:val="0"/>
          <w:numId w:val="902"/>
        </w:numPr>
        <w:spacing w:before="0" w:after="160" w:line="240" w:lineRule="auto"/>
        <w:jc w:val="both"/>
      </w:pPr>
      <w:r>
        <w:rPr>
          <w:rFonts w:ascii="Century Gothic" w:hAnsi="Century Gothic" w:cs="Century Gothic" w:eastAsia="Century Gothic"/>
          <w:b/>
          <w:i w:val="0"/>
          <w:sz w:val="20"/>
        </w:rPr>
        <w:t>Evaluación de ingreso limitada:</w:t>
      </w:r>
      <w:r>
        <w:rPr>
          <w:rFonts w:ascii="Century Gothic" w:hAnsi="Century Gothic" w:cs="Century Gothic" w:eastAsia="Century Gothic"/>
          <w:b w:val="0"/>
          <w:i w:val="0"/>
          <w:sz w:val="20"/>
        </w:rPr>
        <w:t xml:space="preserve"> la admisión mide principalmente conocimientos memorísticos del nivel secundario, sin evaluar las competencias digitales ni el pensamiento crítico y analítico.</w:t>
      </w:r>
    </w:p>
    <w:p>
      <w:pPr>
        <w:numPr>
          <w:ilvl w:val="0"/>
          <w:numId w:val="902"/>
        </w:numPr>
        <w:spacing w:before="0" w:after="160" w:line="240" w:lineRule="auto"/>
        <w:jc w:val="both"/>
      </w:pPr>
      <w:r>
        <w:rPr>
          <w:rFonts w:ascii="Century Gothic" w:hAnsi="Century Gothic" w:cs="Century Gothic" w:eastAsia="Century Gothic"/>
          <w:b/>
          <w:i w:val="0"/>
          <w:sz w:val="20"/>
        </w:rPr>
        <w:t>Deserción temprana:</w:t>
      </w:r>
      <w:r>
        <w:rPr>
          <w:rFonts w:ascii="Century Gothic" w:hAnsi="Century Gothic" w:cs="Century Gothic" w:eastAsia="Century Gothic"/>
          <w:b w:val="0"/>
          <w:i w:val="0"/>
          <w:sz w:val="20"/>
        </w:rPr>
        <w:t xml:space="preserve"> la falta de nivelación en nociones contables genera bajo rendimiento y abandono en los primeros años; en 2025 una cuarta parte de los matriculados, el 26,62 %, no se inscribió en ninguna asignatura.</w:t>
      </w:r>
    </w:p>
    <w:p>
      <w:pPr>
        <w:numPr>
          <w:ilvl w:val="0"/>
          <w:numId w:val="902"/>
        </w:numPr>
        <w:spacing w:before="0" w:after="200" w:line="240" w:lineRule="auto"/>
        <w:jc w:val="both"/>
      </w:pPr>
      <w:r>
        <w:rPr>
          <w:rFonts w:ascii="Century Gothic" w:hAnsi="Century Gothic" w:cs="Century Gothic" w:eastAsia="Century Gothic"/>
          <w:b/>
          <w:i w:val="0"/>
          <w:sz w:val="20"/>
        </w:rPr>
        <w:t>Ausencia de registro diagnóstico:</w:t>
      </w:r>
      <w:r>
        <w:rPr>
          <w:rFonts w:ascii="Century Gothic" w:hAnsi="Century Gothic" w:cs="Century Gothic" w:eastAsia="Century Gothic"/>
          <w:b w:val="0"/>
          <w:i w:val="0"/>
          <w:sz w:val="20"/>
        </w:rPr>
        <w:t xml:space="preserve"> no existe un expediente inicial del estudiante que permita identificar las causas del bajo rendimiento o del abandono.</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5.2.2</w:t>
        <w:tab/>
      </w:r>
      <w:r>
        <w:rPr>
          <w:rFonts w:ascii="Century Gothic" w:hAnsi="Century Gothic" w:cs="Century Gothic" w:eastAsia="Century Gothic"/>
          <w:b/>
          <w:i w:val="0"/>
          <w:sz w:val="22"/>
        </w:rPr>
        <w:t>Medidas del nuevo plan</w:t>
      </w:r>
    </w:p>
    <w:p>
      <w:pPr>
        <w:numPr>
          <w:ilvl w:val="0"/>
          <w:numId w:val="903"/>
        </w:numPr>
        <w:spacing w:before="0" w:after="160" w:line="240" w:lineRule="auto"/>
        <w:jc w:val="both"/>
      </w:pPr>
      <w:r>
        <w:rPr>
          <w:rFonts w:ascii="Century Gothic" w:hAnsi="Century Gothic" w:cs="Century Gothic" w:eastAsia="Century Gothic"/>
          <w:b/>
          <w:i w:val="0"/>
          <w:sz w:val="20"/>
        </w:rPr>
        <w:t>Diversificación de la evaluación de ingreso:</w:t>
      </w:r>
      <w:r>
        <w:rPr>
          <w:rFonts w:ascii="Century Gothic" w:hAnsi="Century Gothic" w:cs="Century Gothic" w:eastAsia="Century Gothic"/>
          <w:b w:val="0"/>
          <w:i w:val="0"/>
          <w:sz w:val="20"/>
        </w:rPr>
        <w:t xml:space="preserve"> incorporación progresiva, en la PSA y en el CPF, de reactivos de pensamiento crítico, lógica computacional, alfabetización digital y nociones de análisis de datos, en coordinación con la Facultad.</w:t>
      </w:r>
    </w:p>
    <w:p>
      <w:pPr>
        <w:numPr>
          <w:ilvl w:val="0"/>
          <w:numId w:val="903"/>
        </w:numPr>
        <w:spacing w:before="0" w:after="160" w:line="240" w:lineRule="auto"/>
        <w:jc w:val="both"/>
      </w:pPr>
      <w:r>
        <w:rPr>
          <w:rFonts w:ascii="Century Gothic" w:hAnsi="Century Gothic" w:cs="Century Gothic" w:eastAsia="Century Gothic"/>
          <w:b/>
          <w:i w:val="0"/>
          <w:sz w:val="20"/>
        </w:rPr>
        <w:t>Expediente digital diagnóstico:</w:t>
      </w:r>
      <w:r>
        <w:rPr>
          <w:rFonts w:ascii="Century Gothic" w:hAnsi="Century Gothic" w:cs="Century Gothic" w:eastAsia="Century Gothic"/>
          <w:b w:val="0"/>
          <w:i w:val="0"/>
          <w:sz w:val="20"/>
        </w:rPr>
        <w:t xml:space="preserve"> prueba diagnóstica al inicio del primer año para identificar debilidades en aritmética, comprensión lectora y nociones contables, cuyo resultado se registra en el sistema de seguimiento académico.</w:t>
      </w:r>
    </w:p>
    <w:p>
      <w:pPr>
        <w:numPr>
          <w:ilvl w:val="0"/>
          <w:numId w:val="903"/>
        </w:numPr>
        <w:spacing w:before="0" w:after="200" w:line="240" w:lineRule="auto"/>
        <w:jc w:val="both"/>
      </w:pPr>
      <w:r>
        <w:rPr>
          <w:rFonts w:ascii="Century Gothic" w:hAnsi="Century Gothic" w:cs="Century Gothic" w:eastAsia="Century Gothic"/>
          <w:b/>
          <w:i w:val="0"/>
          <w:sz w:val="20"/>
        </w:rPr>
        <w:t>Nivelación temprana:</w:t>
      </w:r>
      <w:r>
        <w:rPr>
          <w:rFonts w:ascii="Century Gothic" w:hAnsi="Century Gothic" w:cs="Century Gothic" w:eastAsia="Century Gothic"/>
          <w:b w:val="0"/>
          <w:i w:val="0"/>
          <w:sz w:val="20"/>
        </w:rPr>
        <w:t xml:space="preserve"> curso de nivelación no punitivo durante las primeras cuatro semanas del primer año, con módulos de refuerzo asignados según los resultados de la prueba diagnóstica.</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5.3</w:t>
        <w:tab/>
      </w:r>
      <w:r>
        <w:rPr>
          <w:rFonts w:ascii="Century Gothic" w:hAnsi="Century Gothic" w:cs="Century Gothic" w:eastAsia="Century Gothic"/>
          <w:b/>
          <w:i w:val="0"/>
          <w:sz w:val="24"/>
        </w:rPr>
        <w:t>Condiciones de permanencia, licencias, suspensiones, plazo máximo de reincorporación, abandono, etc.</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5.3.1</w:t>
        <w:tab/>
      </w:r>
      <w:r>
        <w:rPr>
          <w:rFonts w:ascii="Century Gothic" w:hAnsi="Century Gothic" w:cs="Century Gothic" w:eastAsia="Century Gothic"/>
          <w:b/>
          <w:i w:val="0"/>
          <w:sz w:val="22"/>
        </w:rPr>
        <w:t>Régimen académico</w:t>
      </w:r>
    </w:p>
    <w:p>
      <w:pPr>
        <w:spacing w:before="0" w:after="200" w:line="240" w:lineRule="auto"/>
        <w:jc w:val="both"/>
      </w:pPr>
      <w:r>
        <w:rPr>
          <w:rFonts w:ascii="Century Gothic" w:hAnsi="Century Gothic" w:cs="Century Gothic" w:eastAsia="Century Gothic"/>
          <w:b w:val="0"/>
          <w:i w:val="0"/>
          <w:sz w:val="20"/>
        </w:rPr>
        <w:t>El Plan de Estudios 2027 se administra en modalidad presencial y régimen anual de cinco gestiones académicas de 40 semanas lectivas, conforme al Estatuto Orgánico de la UMSA y al Reglamento del Régimen Estudiantil de la Universidad Boliviana. El avance se rige por los prerrequisitos de la malla curricular del punto 4.4.3, y la aprobación de cada asignatura requiere 51 puntos sobre 100, conforme al punto 4.7.</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5.3.2</w:t>
        <w:tab/>
      </w:r>
      <w:r>
        <w:rPr>
          <w:rFonts w:ascii="Century Gothic" w:hAnsi="Century Gothic" w:cs="Century Gothic" w:eastAsia="Century Gothic"/>
          <w:b/>
          <w:i w:val="0"/>
          <w:sz w:val="22"/>
        </w:rPr>
        <w:t>Permanencia, licencias, suspensiones, reincorporación y abandono</w:t>
      </w:r>
    </w:p>
    <w:p>
      <w:pPr>
        <w:spacing w:before="0" w:after="200" w:line="240" w:lineRule="auto"/>
        <w:jc w:val="both"/>
      </w:pPr>
      <w:r>
        <w:rPr>
          <w:rFonts w:ascii="Century Gothic" w:hAnsi="Century Gothic" w:cs="Century Gothic" w:eastAsia="Century Gothic"/>
          <w:b w:val="0"/>
          <w:i w:val="0"/>
          <w:sz w:val="20"/>
          <w:highlight w:val="green"/>
        </w:rPr>
        <w:t>El Artículo 16 del Reglamento del Régimen Estudiantil de la Universidad Boliviana define el régimen académico estudiantil como las disposiciones referidas a la permanencia estudiantil, el traspaso, el cambio de carrera, la suspensión voluntaria de estudios, el estudio simultáneo de dos carreras y las readmisiones. La readmisión es el procedimiento académico administrativo, sujeto a reglamento específico, por el cual el estudiante que interrumpió temporalmente sus estudios vuelve a inscribirse.</w:t>
      </w:r>
    </w:p>
    <w:p>
      <w:pPr>
        <w:spacing w:before="0" w:after="200" w:line="240" w:lineRule="auto"/>
        <w:jc w:val="both"/>
      </w:pPr>
      <w:r>
        <w:rPr>
          <w:rFonts w:ascii="Century Gothic" w:hAnsi="Century Gothic" w:cs="Century Gothic" w:eastAsia="Century Gothic"/>
          <w:b w:val="0"/>
          <w:i w:val="0"/>
          <w:sz w:val="20"/>
        </w:rPr>
        <w:t>En ese marco, el Plan de Estudios 2027 establece las siguientes condiciones:</w:t>
      </w:r>
    </w:p>
    <w:p>
      <w:pPr>
        <w:numPr>
          <w:ilvl w:val="0"/>
          <w:numId w:val="904"/>
        </w:numPr>
        <w:spacing w:before="0" w:after="160" w:line="240" w:lineRule="auto"/>
        <w:jc w:val="both"/>
      </w:pPr>
      <w:r>
        <w:rPr>
          <w:rFonts w:ascii="Century Gothic" w:hAnsi="Century Gothic" w:cs="Century Gothic" w:eastAsia="Century Gothic"/>
          <w:b/>
          <w:i w:val="0"/>
          <w:sz w:val="20"/>
        </w:rPr>
        <w:t>Permanencia:</w:t>
      </w:r>
      <w:r>
        <w:rPr>
          <w:rFonts w:ascii="Century Gothic" w:hAnsi="Century Gothic" w:cs="Century Gothic" w:eastAsia="Century Gothic"/>
          <w:b w:val="0"/>
          <w:i w:val="0"/>
          <w:sz w:val="20"/>
        </w:rPr>
        <w:t xml:space="preserve"> es estudiante regular quien se matricula en la gestión y se inscribe en asignaturas conforme a los prerrequisitos del plan. La matrícula anual acredita los derechos y obligaciones del estudiante durante la gestión.</w:t>
      </w:r>
    </w:p>
    <w:p>
      <w:pPr>
        <w:numPr>
          <w:ilvl w:val="0"/>
          <w:numId w:val="904"/>
        </w:numPr>
        <w:spacing w:before="0" w:after="160" w:line="240" w:lineRule="auto"/>
        <w:jc w:val="both"/>
      </w:pPr>
      <w:r>
        <w:rPr>
          <w:rFonts w:ascii="Century Gothic" w:hAnsi="Century Gothic" w:cs="Century Gothic" w:eastAsia="Century Gothic"/>
          <w:b/>
          <w:i w:val="0"/>
          <w:sz w:val="20"/>
        </w:rPr>
        <w:t>Suspensión voluntaria o licencia:</w:t>
      </w:r>
      <w:r>
        <w:rPr>
          <w:rFonts w:ascii="Century Gothic" w:hAnsi="Century Gothic" w:cs="Century Gothic" w:eastAsia="Century Gothic"/>
          <w:b w:val="0"/>
          <w:i w:val="0"/>
          <w:sz w:val="20"/>
        </w:rPr>
        <w:t xml:space="preserve"> el estudiante puede solicitar la suspensión temporal de sus estudios por causas justificadas, mediante solicitud escrita a la Dirección de Carrera, sin que ello se registre como reprobación ni abandono.</w:t>
      </w:r>
    </w:p>
    <w:p>
      <w:pPr>
        <w:numPr>
          <w:ilvl w:val="0"/>
          <w:numId w:val="904"/>
        </w:numPr>
        <w:spacing w:before="0" w:after="160" w:line="240" w:lineRule="auto"/>
        <w:jc w:val="both"/>
      </w:pPr>
      <w:r>
        <w:rPr>
          <w:rFonts w:ascii="Century Gothic" w:hAnsi="Century Gothic" w:cs="Century Gothic" w:eastAsia="Century Gothic"/>
          <w:b/>
          <w:i w:val="0"/>
          <w:sz w:val="20"/>
        </w:rPr>
        <w:t>Abandono:</w:t>
      </w:r>
      <w:r>
        <w:rPr>
          <w:rFonts w:ascii="Century Gothic" w:hAnsi="Century Gothic" w:cs="Century Gothic" w:eastAsia="Century Gothic"/>
          <w:b w:val="0"/>
          <w:i w:val="0"/>
          <w:sz w:val="20"/>
        </w:rPr>
        <w:t xml:space="preserve"> se considera abandono de una asignatura la interrupción de su cursado sin cumplir las evaluaciones previstas, y abandono de la Carrera la falta de matrícula sin haber solicitado suspensión. El abandono se registra en el historial académico y se considera en los requisitos de la graduación por excelencia.</w:t>
      </w:r>
    </w:p>
    <w:p>
      <w:pPr>
        <w:numPr>
          <w:ilvl w:val="0"/>
          <w:numId w:val="904"/>
        </w:numPr>
        <w:spacing w:before="0" w:after="160" w:line="240" w:lineRule="auto"/>
        <w:jc w:val="both"/>
      </w:pPr>
      <w:r>
        <w:rPr>
          <w:rFonts w:ascii="Century Gothic" w:hAnsi="Century Gothic" w:cs="Century Gothic" w:eastAsia="Century Gothic"/>
          <w:b/>
          <w:i w:val="0"/>
          <w:sz w:val="20"/>
        </w:rPr>
        <w:t>Readmisión y reincorporación:</w:t>
      </w:r>
      <w:r>
        <w:rPr>
          <w:rFonts w:ascii="Century Gothic" w:hAnsi="Century Gothic" w:cs="Century Gothic" w:eastAsia="Century Gothic"/>
          <w:b w:val="0"/>
          <w:i w:val="0"/>
          <w:sz w:val="20"/>
        </w:rPr>
        <w:t xml:space="preserve"> el estudiante que interrumpió sus estudios se reincorpora al plan vigente al momento de su retorno, con convalidación de las asignaturas aprobadas conforme a las tablas del punto 16.1.</w:t>
      </w:r>
    </w:p>
    <w:p>
      <w:pPr>
        <w:numPr>
          <w:ilvl w:val="0"/>
          <w:numId w:val="904"/>
        </w:numPr>
        <w:spacing w:before="0" w:after="160" w:line="240" w:lineRule="auto"/>
        <w:jc w:val="both"/>
      </w:pPr>
      <w:r>
        <w:rPr>
          <w:rFonts w:ascii="Century Gothic" w:hAnsi="Century Gothic" w:cs="Century Gothic" w:eastAsia="Century Gothic"/>
          <w:b/>
          <w:i w:val="0"/>
          <w:sz w:val="20"/>
        </w:rPr>
        <w:t>Suspensiones disciplinarias:</w:t>
      </w:r>
      <w:r>
        <w:rPr>
          <w:rFonts w:ascii="Century Gothic" w:hAnsi="Century Gothic" w:cs="Century Gothic" w:eastAsia="Century Gothic"/>
          <w:b w:val="0"/>
          <w:i w:val="0"/>
          <w:sz w:val="20"/>
        </w:rPr>
        <w:t xml:space="preserve"> se aplican conforme al régimen disciplinario de la UMSA y del Sistema de la Universidad Boliviana.</w:t>
      </w:r>
    </w:p>
    <w:p>
      <w:pPr>
        <w:numPr>
          <w:ilvl w:val="0"/>
          <w:numId w:val="904"/>
        </w:numPr>
        <w:spacing w:before="0" w:after="200" w:line="240" w:lineRule="auto"/>
        <w:jc w:val="both"/>
      </w:pPr>
      <w:r>
        <w:rPr>
          <w:rFonts w:ascii="Century Gothic" w:hAnsi="Century Gothic" w:cs="Century Gothic" w:eastAsia="Century Gothic"/>
          <w:b/>
          <w:i w:val="0"/>
          <w:sz w:val="20"/>
        </w:rPr>
        <w:t>Traspaso, cambio de carrera y estudio simultáneo:</w:t>
      </w:r>
      <w:r>
        <w:rPr>
          <w:rFonts w:ascii="Century Gothic" w:hAnsi="Century Gothic" w:cs="Century Gothic" w:eastAsia="Century Gothic"/>
          <w:b w:val="0"/>
          <w:i w:val="0"/>
          <w:sz w:val="20"/>
        </w:rPr>
        <w:t xml:space="preserve"> se tramitan conforme al Reglamento de Traspaso Estudiantil del Sistema y a la normativa de la UMSA, con convalidación de asignaturas cuando la similitud de carga horaria y contenidos sea de al menos el 70 %.</w:t>
      </w:r>
    </w:p>
    <w:p>
      <w:pPr>
        <w:spacing w:before="0" w:after="200" w:line="240" w:lineRule="auto"/>
        <w:jc w:val="both"/>
      </w:pPr>
      <w:r>
        <w:rPr>
          <w:rFonts w:ascii="Century Gothic" w:hAnsi="Century Gothic" w:cs="Century Gothic" w:eastAsia="Century Gothic"/>
          <w:b w:val="0"/>
          <w:i w:val="0"/>
          <w:sz w:val="20"/>
        </w:rPr>
        <w:t>Los plazos máximos de suspensión y de reincorporación, así como los procedimientos de cada trámite, se establecen en el reglamento específico de la UMSA y se incorporarán al Reglamento Interno de la Carrera señalado en el punto 13.1.</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5.3.3</w:t>
        <w:tab/>
      </w:r>
      <w:r>
        <w:rPr>
          <w:rFonts w:ascii="Century Gothic" w:hAnsi="Century Gothic" w:cs="Century Gothic" w:eastAsia="Century Gothic"/>
          <w:b/>
          <w:i w:val="0"/>
          <w:sz w:val="22"/>
        </w:rPr>
        <w:t>Cursos intensivos de temporada</w:t>
      </w:r>
    </w:p>
    <w:p>
      <w:pPr>
        <w:spacing w:before="0" w:after="200" w:line="240" w:lineRule="auto"/>
        <w:jc w:val="both"/>
      </w:pPr>
      <w:r>
        <w:rPr>
          <w:rFonts w:ascii="Century Gothic" w:hAnsi="Century Gothic" w:cs="Century Gothic" w:eastAsia="Century Gothic"/>
          <w:b w:val="0"/>
          <w:i w:val="0"/>
          <w:sz w:val="20"/>
        </w:rPr>
        <w:t>Se rigen por la Resolución HCU N.º 093/2006, de 15 de marzo de 2006, cuyo Artículo 13 establece que «las Carreras tienen la tuición de elegir las materias a ser dictadas en el periodo que dure los Cursos de Temporada en función de aspectos que cada unidad académica considere importante, debiendo sus contenidos ser cubiertos en un 100% en teoría y en práctica», y cuyo Artículo 6 fija una duración mínima de 60 días calendario, ocho semanas, en las carreras anualizadas.</w:t>
      </w:r>
    </w:p>
    <w:p>
      <w:pPr>
        <w:numPr>
          <w:ilvl w:val="0"/>
          <w:numId w:val="905"/>
        </w:numPr>
        <w:spacing w:before="0" w:after="160" w:line="240" w:lineRule="auto"/>
        <w:jc w:val="both"/>
      </w:pPr>
      <w:r>
        <w:rPr>
          <w:rFonts w:ascii="Century Gothic" w:hAnsi="Century Gothic" w:cs="Century Gothic" w:eastAsia="Century Gothic"/>
          <w:b/>
          <w:i w:val="0"/>
          <w:sz w:val="20"/>
        </w:rPr>
        <w:t>Propósito:</w:t>
      </w:r>
      <w:r>
        <w:rPr>
          <w:rFonts w:ascii="Century Gothic" w:hAnsi="Century Gothic" w:cs="Century Gothic" w:eastAsia="Century Gothic"/>
          <w:b w:val="0"/>
          <w:i w:val="0"/>
          <w:sz w:val="20"/>
        </w:rPr>
        <w:t xml:space="preserve"> permitir a los estudiantes regulares nivelar o adelantar hasta dos asignaturas por temporada, con cumplimiento de los prerrequisitos.</w:t>
      </w:r>
    </w:p>
    <w:p>
      <w:pPr>
        <w:numPr>
          <w:ilvl w:val="0"/>
          <w:numId w:val="905"/>
        </w:numPr>
        <w:spacing w:before="0" w:after="160" w:line="240" w:lineRule="auto"/>
        <w:jc w:val="both"/>
      </w:pPr>
      <w:r>
        <w:rPr>
          <w:rFonts w:ascii="Century Gothic" w:hAnsi="Century Gothic" w:cs="Century Gothic" w:eastAsia="Century Gothic"/>
          <w:b/>
          <w:i w:val="0"/>
          <w:sz w:val="20"/>
        </w:rPr>
        <w:t>Asignaturas habilitadas:</w:t>
      </w:r>
      <w:r>
        <w:rPr>
          <w:rFonts w:ascii="Century Gothic" w:hAnsi="Century Gothic" w:cs="Century Gothic" w:eastAsia="Century Gothic"/>
          <w:b w:val="0"/>
          <w:i w:val="0"/>
          <w:sz w:val="20"/>
        </w:rPr>
        <w:t xml:space="preserve"> las 14 asignaturas contextuales y las troncales de hasta 80 horas anuales: CPA-102, CPA-204, CPA-406, CPA-506, CPA-507, CPA-508, CPA-509 y CPA-510.</w:t>
      </w:r>
    </w:p>
    <w:p>
      <w:pPr>
        <w:numPr>
          <w:ilvl w:val="0"/>
          <w:numId w:val="905"/>
        </w:numPr>
        <w:spacing w:before="0" w:after="160" w:line="240" w:lineRule="auto"/>
        <w:jc w:val="both"/>
      </w:pPr>
      <w:r>
        <w:rPr>
          <w:rFonts w:ascii="Century Gothic" w:hAnsi="Century Gothic" w:cs="Century Gothic" w:eastAsia="Century Gothic"/>
          <w:b/>
          <w:i w:val="0"/>
          <w:sz w:val="20"/>
        </w:rPr>
        <w:t>Recuperación de troncales:</w:t>
      </w:r>
      <w:r>
        <w:rPr>
          <w:rFonts w:ascii="Century Gothic" w:hAnsi="Century Gothic" w:cs="Century Gothic" w:eastAsia="Century Gothic"/>
          <w:b w:val="0"/>
          <w:i w:val="0"/>
          <w:sz w:val="20"/>
        </w:rPr>
        <w:t xml:space="preserve"> las asignaturas troncales de más de 80 horas pueden cursarse en temporada solo para recuperar una asignatura reprobada. El estudiante reprobado accede a la recuperación con un esquema de tutoría complementaria obligatoria.</w:t>
      </w:r>
    </w:p>
    <w:p>
      <w:pPr>
        <w:numPr>
          <w:ilvl w:val="0"/>
          <w:numId w:val="905"/>
        </w:numPr>
        <w:spacing w:before="0" w:after="200" w:line="240" w:lineRule="auto"/>
        <w:jc w:val="both"/>
      </w:pPr>
      <w:r>
        <w:rPr>
          <w:rFonts w:ascii="Century Gothic" w:hAnsi="Century Gothic" w:cs="Century Gothic" w:eastAsia="Century Gothic"/>
          <w:b/>
          <w:i w:val="0"/>
          <w:sz w:val="20"/>
        </w:rPr>
        <w:t>Modalidad híbrida:</w:t>
      </w:r>
      <w:r>
        <w:rPr>
          <w:rFonts w:ascii="Century Gothic" w:hAnsi="Century Gothic" w:cs="Century Gothic" w:eastAsia="Century Gothic"/>
          <w:b w:val="0"/>
          <w:i w:val="0"/>
          <w:sz w:val="20"/>
        </w:rPr>
        <w:t xml:space="preserve"> el Honorable Consejo de Carrera podrá habilitar progresivamente asignaturas troncales en modalidad presencial y virtual, siempre que se cubra la totalidad del programa.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5.3.4</w:t>
        <w:tab/>
      </w:r>
      <w:r>
        <w:rPr>
          <w:rFonts w:ascii="Century Gothic" w:hAnsi="Century Gothic" w:cs="Century Gothic" w:eastAsia="Century Gothic"/>
          <w:b/>
          <w:i w:val="0"/>
          <w:sz w:val="22"/>
        </w:rPr>
        <w:t>Mesas de examen</w:t>
      </w:r>
    </w:p>
    <w:p>
      <w:pPr>
        <w:spacing w:before="0" w:after="200" w:line="240" w:lineRule="auto"/>
        <w:jc w:val="both"/>
      </w:pPr>
      <w:r>
        <w:rPr>
          <w:rFonts w:ascii="Century Gothic" w:hAnsi="Century Gothic" w:cs="Century Gothic" w:eastAsia="Century Gothic"/>
          <w:b w:val="0"/>
          <w:i w:val="0"/>
          <w:sz w:val="20"/>
        </w:rPr>
        <w:t>La mesa de examen se rige por la Resolución HCU N.º 352/2021 y se aplica a las asignaturas teóricas detalladas en el punto 4.7.5, con un máximo de dos asignaturas por gestión. Antes de cada mesa se ofrecerán seminarios de resolución de casos como apoyo a los estudiantes inscritos.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5.3.5</w:t>
        <w:tab/>
      </w:r>
      <w:r>
        <w:rPr>
          <w:rFonts w:ascii="Century Gothic" w:hAnsi="Century Gothic" w:cs="Century Gothic" w:eastAsia="Century Gothic"/>
          <w:b/>
          <w:i w:val="0"/>
          <w:sz w:val="22"/>
        </w:rPr>
        <w:t>Seguimiento académico y acompañamiento</w:t>
      </w:r>
    </w:p>
    <w:p>
      <w:pPr>
        <w:spacing w:before="0" w:after="200" w:line="240" w:lineRule="auto"/>
        <w:jc w:val="both"/>
      </w:pPr>
      <w:r>
        <w:rPr>
          <w:rFonts w:ascii="Century Gothic" w:hAnsi="Century Gothic" w:cs="Century Gothic" w:eastAsia="Century Gothic"/>
          <w:b w:val="0"/>
          <w:i w:val="0"/>
          <w:sz w:val="20"/>
        </w:rPr>
        <w:t>El diagnóstico identifica cuellos de botella en las asignaturas troncales de contabilidad, auditoría y tributación, un seguimiento reactivo del rendimiento y 396 estudiantes con siete a nueve años de permanencia en 2025. Para mejorar la promoción y la eficiencia terminal, el nuevo plan incorpora:</w:t>
      </w:r>
    </w:p>
    <w:p>
      <w:pPr>
        <w:numPr>
          <w:ilvl w:val="0"/>
          <w:numId w:val="906"/>
        </w:numPr>
        <w:spacing w:before="0" w:after="160" w:line="240" w:lineRule="auto"/>
        <w:jc w:val="both"/>
      </w:pPr>
      <w:r>
        <w:rPr>
          <w:rFonts w:ascii="Century Gothic" w:hAnsi="Century Gothic" w:cs="Century Gothic" w:eastAsia="Century Gothic"/>
          <w:b/>
          <w:i w:val="0"/>
          <w:sz w:val="20"/>
        </w:rPr>
        <w:t>Sistema de alerta temprana:</w:t>
      </w:r>
      <w:r>
        <w:rPr>
          <w:rFonts w:ascii="Century Gothic" w:hAnsi="Century Gothic" w:cs="Century Gothic" w:eastAsia="Century Gothic"/>
          <w:b w:val="0"/>
          <w:i w:val="0"/>
          <w:sz w:val="20"/>
        </w:rPr>
        <w:t xml:space="preserve"> el sistema de seguimiento académico, conectado al kárdex, identificará las caídas de rendimiento y las inasistencias reiteradas antes del primer parcial y activará la derivación a tutoría.</w:t>
      </w:r>
    </w:p>
    <w:p>
      <w:pPr>
        <w:numPr>
          <w:ilvl w:val="0"/>
          <w:numId w:val="906"/>
        </w:numPr>
        <w:spacing w:before="0" w:after="160" w:line="240" w:lineRule="auto"/>
        <w:jc w:val="both"/>
      </w:pPr>
      <w:r>
        <w:rPr>
          <w:rFonts w:ascii="Century Gothic" w:hAnsi="Century Gothic" w:cs="Century Gothic" w:eastAsia="Century Gothic"/>
          <w:b/>
          <w:i w:val="0"/>
          <w:sz w:val="20"/>
        </w:rPr>
        <w:t>Tutoría entre pares y auxiliaturas:</w:t>
      </w:r>
      <w:r>
        <w:rPr>
          <w:rFonts w:ascii="Century Gothic" w:hAnsi="Century Gothic" w:cs="Century Gothic" w:eastAsia="Century Gothic"/>
          <w:b w:val="0"/>
          <w:i w:val="0"/>
          <w:sz w:val="20"/>
        </w:rPr>
        <w:t xml:space="preserve"> los auxiliares de docencia destinarán horas semanales a talleres de consulta y repaso práctico en las asignaturas con mayor reprobación.</w:t>
      </w:r>
    </w:p>
    <w:p>
      <w:pPr>
        <w:numPr>
          <w:ilvl w:val="0"/>
          <w:numId w:val="906"/>
        </w:numPr>
        <w:spacing w:before="0" w:after="200" w:line="240" w:lineRule="auto"/>
        <w:jc w:val="both"/>
      </w:pPr>
      <w:r>
        <w:rPr>
          <w:rFonts w:ascii="Century Gothic" w:hAnsi="Century Gothic" w:cs="Century Gothic" w:eastAsia="Century Gothic"/>
          <w:b/>
          <w:i w:val="0"/>
          <w:sz w:val="20"/>
        </w:rPr>
        <w:t>Transparencia en la evaluación:</w:t>
      </w:r>
      <w:r>
        <w:rPr>
          <w:rFonts w:ascii="Century Gothic" w:hAnsi="Century Gothic" w:cs="Century Gothic" w:eastAsia="Century Gothic"/>
          <w:b w:val="0"/>
          <w:i w:val="0"/>
          <w:sz w:val="20"/>
        </w:rPr>
        <w:t xml:space="preserve"> los docentes publicarán en la plataforma virtual el solucionario y la rúbrica de calificación dentro de las 48 horas posteriores a cada evaluación parcial, final o de mesa, para que la evaluación sea un instrumento de aprendizaje.</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5.4</w:t>
        <w:tab/>
      </w:r>
      <w:r>
        <w:rPr>
          <w:rFonts w:ascii="Century Gothic" w:hAnsi="Century Gothic" w:cs="Century Gothic" w:eastAsia="Century Gothic"/>
          <w:b/>
          <w:i w:val="0"/>
          <w:sz w:val="24"/>
        </w:rPr>
        <w:t>Modalidades de graduación</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5.4.1</w:t>
        <w:tab/>
      </w:r>
      <w:r>
        <w:rPr>
          <w:rFonts w:ascii="Century Gothic" w:hAnsi="Century Gothic" w:cs="Century Gothic" w:eastAsia="Century Gothic"/>
          <w:b/>
          <w:i w:val="0"/>
          <w:sz w:val="22"/>
        </w:rPr>
        <w:t>Grados académicos y títulos en provisión nacional</w:t>
      </w:r>
    </w:p>
    <w:p>
      <w:pPr>
        <w:spacing w:before="0" w:after="200" w:line="240" w:lineRule="auto"/>
        <w:jc w:val="both"/>
      </w:pPr>
      <w:r>
        <w:rPr>
          <w:rFonts w:ascii="Century Gothic" w:hAnsi="Century Gothic" w:cs="Century Gothic" w:eastAsia="Century Gothic"/>
          <w:b w:val="0"/>
          <w:i w:val="0"/>
          <w:sz w:val="20"/>
        </w:rPr>
        <w:t>El plan establece salidas intermedias y la titulación de grado, que permiten la inserción laboral progresiva del estudiante:</w:t>
      </w:r>
    </w:p>
    <w:p>
      <w:pPr>
        <w:keepNext/>
        <w:spacing w:before="40" w:after="80" w:line="240" w:lineRule="auto"/>
        <w:jc w:val="center"/>
      </w:pPr>
      <w:r>
        <w:rPr>
          <w:rFonts w:ascii="Century Gothic" w:hAnsi="Century Gothic" w:cs="Century Gothic" w:eastAsia="Century Gothic"/>
          <w:b/>
          <w:i w:val="0"/>
          <w:sz w:val="20"/>
        </w:rPr>
        <w:t>Cuadro 2. Grados académicos y títulos</w:t>
      </w:r>
    </w:p>
    <w:tbl>
      <w:tblPr>
        <w:tblW w:type="auto" w:w="0"/>
        <w:jc w:val="center"/>
        <w:tblLayout w:type="fixed"/>
        <w:tblLook w:firstColumn="1" w:firstRow="1" w:lastColumn="0" w:lastRow="0" w:noHBand="0" w:noVBand="1" w:val="04A0"/>
      </w:tblPr>
      <w:tblGrid>
        <w:gridCol w:w="1474"/>
        <w:gridCol w:w="3061"/>
        <w:gridCol w:w="2381"/>
        <w:gridCol w:w="2154"/>
      </w:tblGrid>
      <w:tr>
        <w:trPr>
          <w:tblHeader/>
        </w:trPr>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Nivel</w:t>
            </w:r>
          </w:p>
        </w:tc>
        <w:tc>
          <w:tcPr>
            <w:tcW w:type="dxa" w:w="30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Requisitos</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Grado o certificado</w:t>
            </w:r>
          </w:p>
        </w:tc>
        <w:tc>
          <w:tcPr>
            <w:tcW w:type="dxa" w:w="21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Título en provisión nacional</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Técnico Medio</w:t>
            </w:r>
          </w:p>
        </w:tc>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Conclusión del segundo año, 16 asignaturas, acreditada con el certificado correspondiente</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Técnico Medio, Auxiliar en Contabilidad General</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No corresponde</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Técnico Superior</w:t>
            </w:r>
          </w:p>
        </w:tc>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Conclusión del tercer año, 24 asignaturas, y aprobación del examen de grado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Técnico Universitario Superior en Contabilidad General</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Contador General</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Licenciatura</w:t>
            </w:r>
          </w:p>
        </w:tc>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Conclusión del quinto año, 43 asignaturas, con certificado de egreso, y aprobación de una modalidad de graduación</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Licenciado(a) en Contaduría Pública</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Contador Público Autorizado</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Estos grados se encuentran tipificados en el Artículo 4 del Reglamento General de Títulos y Grados del Sistema de la Universidad Boliviana.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5.4.2</w:t>
        <w:tab/>
      </w:r>
      <w:r>
        <w:rPr>
          <w:rFonts w:ascii="Century Gothic" w:hAnsi="Century Gothic" w:cs="Century Gothic" w:eastAsia="Century Gothic"/>
          <w:b/>
          <w:i w:val="0"/>
          <w:sz w:val="22"/>
        </w:rPr>
        <w:t>Modalidades de graduación para la licenciatura</w:t>
      </w:r>
    </w:p>
    <w:p>
      <w:pPr>
        <w:spacing w:before="0" w:after="200" w:line="240" w:lineRule="auto"/>
        <w:jc w:val="both"/>
      </w:pPr>
      <w:r>
        <w:rPr>
          <w:rFonts w:ascii="Century Gothic" w:hAnsi="Century Gothic" w:cs="Century Gothic" w:eastAsia="Century Gothic"/>
          <w:b w:val="0"/>
          <w:i w:val="0"/>
          <w:sz w:val="20"/>
        </w:rPr>
        <w:t>Conforme al Reglamento del Régimen Estudiantil y al Reglamento General de Tipos y Modalidades de Graduación del Sistema de la Universidad Boliviana, el estudiante que concluya las 43 asignaturas puede optar por una de las siguientes modalidades. La Carrera no aplica el internado rotatorio, propio de las ciencias de la salud. Todas se califican en una escala de 1 a 100 puntos, con 51 puntos como nota mínima de aprobación.</w:t>
      </w:r>
    </w:p>
    <w:p>
      <w:pPr>
        <w:spacing w:before="0" w:after="200" w:line="240" w:lineRule="auto"/>
        <w:jc w:val="both"/>
      </w:pPr>
      <w:r>
        <w:rPr>
          <w:rFonts w:ascii="Century Gothic" w:hAnsi="Century Gothic" w:cs="Century Gothic" w:eastAsia="Century Gothic"/>
          <w:b/>
          <w:i w:val="0"/>
          <w:sz w:val="20"/>
        </w:rPr>
        <w:t>a. Tesis de grado.</w:t>
      </w:r>
      <w:r>
        <w:rPr>
          <w:rFonts w:ascii="Century Gothic" w:hAnsi="Century Gothic" w:cs="Century Gothic" w:eastAsia="Century Gothic"/>
          <w:b w:val="0"/>
          <w:i w:val="0"/>
          <w:sz w:val="20"/>
        </w:rPr>
        <w:t xml:space="preserve"> Trabajo de investigación científica individual que aplica una metodología adecuada para identificar, analizar y proponer una solución teórica o práctica a un problema relevante de la profesión contable, el aseguramiento o las finanzas, vinculado a las líneas del Instituto de Investigaciones. Se tramita con el certificado de egreso, la designación de un tutor académico y la aprobación del perfil por un tribunal de tres docentes especialistas, que luego actúa como tribunal examinador. El plazo de elaboración es de doce meses, ampliable por tres meses mediante resolución. Su ponderación es la siguiente:</w:t>
      </w:r>
    </w:p>
    <w:tbl>
      <w:tblPr>
        <w:tblW w:type="auto" w:w="0"/>
        <w:jc w:val="center"/>
        <w:tblLayout w:type="fixed"/>
        <w:tblLook w:firstColumn="1" w:firstRow="1" w:lastColumn="0" w:lastRow="0" w:noHBand="0" w:noVBand="1" w:val="04A0"/>
      </w:tblPr>
      <w:tblGrid>
        <w:gridCol w:w="6803"/>
        <w:gridCol w:w="2268"/>
      </w:tblGrid>
      <w:tr>
        <w:trPr>
          <w:tblHeader/>
        </w:trPr>
        <w:tc>
          <w:tcPr>
            <w:tcW w:type="dxa" w:w="680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Componente</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Puntos</w:t>
            </w:r>
          </w:p>
        </w:tc>
      </w:tr>
      <w:tr>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Presentación y contenido del trabajo escrito: coherencia metodológica, aporte científico, marco teórico y rigor en los hallazgos</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50</w:t>
            </w:r>
          </w:p>
        </w:tc>
      </w:tr>
      <w:tr>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Sustentación oral: dominio técnico, claridad y orden de la presentación</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30</w:t>
            </w:r>
          </w:p>
        </w:tc>
      </w:tr>
      <w:tr>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Defensa y respuestas al tribunal: capacidad de argumentación</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20</w:t>
            </w:r>
          </w:p>
        </w:tc>
      </w:tr>
      <w:tr>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Total</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100</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i w:val="0"/>
          <w:sz w:val="20"/>
        </w:rPr>
        <w:t>b. Proyecto de grado.</w:t>
      </w:r>
      <w:r>
        <w:rPr>
          <w:rFonts w:ascii="Century Gothic" w:hAnsi="Century Gothic" w:cs="Century Gothic" w:eastAsia="Century Gothic"/>
          <w:b w:val="0"/>
          <w:i w:val="0"/>
          <w:sz w:val="20"/>
        </w:rPr>
        <w:t xml:space="preserve"> Investigación aplicada orientada al diseño e implementación de una solución práctica de uso social, empresarial o institucional, como un sistema de costos para un sector emergente, la implementación de un sistema de gestión empresarial o un modelo de control interno o de gestión de riesgos, con profundidad metodológica equivalente a la tesis. Sigue el mismo procedimiento, plazos y tribunal que la tesis. Su ponderación es: presentación y contenido del trabajo escrito, 45 puntos; sustentación oral y demostración, 30 puntos; y defensa y respuestas, 25 puntos.</w:t>
      </w:r>
    </w:p>
    <w:p>
      <w:pPr>
        <w:spacing w:before="0" w:after="200" w:line="240" w:lineRule="auto"/>
        <w:jc w:val="both"/>
      </w:pPr>
      <w:r>
        <w:rPr>
          <w:rFonts w:ascii="Century Gothic" w:hAnsi="Century Gothic" w:cs="Century Gothic" w:eastAsia="Century Gothic"/>
          <w:b/>
          <w:i w:val="0"/>
          <w:sz w:val="20"/>
        </w:rPr>
        <w:t>c. Trabajo dirigido, externo o interno.</w:t>
      </w:r>
      <w:r>
        <w:rPr>
          <w:rFonts w:ascii="Century Gothic" w:hAnsi="Century Gothic" w:cs="Century Gothic" w:eastAsia="Century Gothic"/>
          <w:b w:val="0"/>
          <w:i w:val="0"/>
          <w:sz w:val="20"/>
        </w:rPr>
        <w:t xml:space="preserve"> Regulado por la Resolución HCU N.º 330/2022, de 18 de agosto de 2022, es un trabajo práctico preprofesional individual o grupal, de hasta tres postulantes, desarrollado en entidades públicas o privadas con convenio suscrito por el Rector o el Decano, en el caso externo, o en dependencias de la UMSA, en el caso interno. Requisitos: promedio académico acumulado no menor a 60 puntos y dedicación exclusiva por un periodo de hasta ocho meses. El estudiante cuenta con un tutor profesional de la entidad y un tutor docente, presenta dos informes trimestrales y un informe final, y expone públicamente sus resultados. La calificación corresponde en un 85 % a la evaluación continua de los informes y en un 15 % a la presentación pública ante tribunal. Esta modalidad se articula con las prácticas preprofesionales del punto 4.8.</w:t>
      </w:r>
    </w:p>
    <w:p>
      <w:pPr>
        <w:keepNext/>
        <w:spacing w:before="40" w:after="80" w:line="240" w:lineRule="auto"/>
        <w:jc w:val="center"/>
      </w:pPr>
      <w:r>
        <w:rPr>
          <w:rFonts w:ascii="Century Gothic" w:hAnsi="Century Gothic" w:cs="Century Gothic" w:eastAsia="Century Gothic"/>
          <w:b/>
          <w:i w:val="0"/>
          <w:sz w:val="20"/>
        </w:rPr>
        <w:t>Cuadro 3. Escala de calificación del trabajo dirigido</w:t>
      </w:r>
    </w:p>
    <w:tbl>
      <w:tblPr>
        <w:tblW w:type="auto" w:w="0"/>
        <w:jc w:val="center"/>
        <w:tblLayout w:type="fixed"/>
        <w:tblLook w:firstColumn="1" w:firstRow="1" w:lastColumn="0" w:lastRow="0" w:noHBand="0" w:noVBand="1" w:val="04A0"/>
      </w:tblPr>
      <w:tblGrid>
        <w:gridCol w:w="6236"/>
        <w:gridCol w:w="2835"/>
      </w:tblGrid>
      <w:tr>
        <w:trPr>
          <w:tblHeader/>
        </w:trPr>
        <w:tc>
          <w:tcPr>
            <w:tcW w:type="dxa" w:w="623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Calificación cualitativa</w:t>
            </w:r>
          </w:p>
        </w:tc>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Puntaje</w:t>
            </w:r>
          </w:p>
        </w:tc>
      </w:tr>
      <w:tr>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Reprobado</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0 a 50</w:t>
            </w:r>
          </w:p>
        </w:tc>
      </w:tr>
      <w:tr>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Aprobado, bueno</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51 a 70</w:t>
            </w:r>
          </w:p>
        </w:tc>
      </w:tr>
      <w:tr>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Sobresaliente, con recomendación de publicación</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71 a 89</w:t>
            </w:r>
          </w:p>
        </w:tc>
      </w:tr>
      <w:tr>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Excelente, con mención honorífica y recomendación de publicación</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90 a 100</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i w:val="0"/>
          <w:sz w:val="20"/>
        </w:rPr>
        <w:t>d. Examen de grado por ciclos.</w:t>
      </w:r>
      <w:r>
        <w:rPr>
          <w:rFonts w:ascii="Century Gothic" w:hAnsi="Century Gothic" w:cs="Century Gothic" w:eastAsia="Century Gothic"/>
          <w:b w:val="0"/>
          <w:i w:val="0"/>
          <w:sz w:val="20"/>
        </w:rPr>
        <w:t xml:space="preserve"> Mide la efectividad de la formación global mediante pruebas teórico prácticas presenciales ante tribunales de docentes de las asignaturas evaluadas. Las asignaturas troncales se agrupan en tres ciclos, cada uno con un examen que se aprueba con 51 puntos; los exámenes incluyen los conocimientos de administración, matemáticas, economía y derecho aplicados a la profesión. El Director de Carrera convoca como mínimo cuatro veces al año, y el sorteo de bolos se realiza con 24 horas de anticipación.</w:t>
      </w:r>
    </w:p>
    <w:p>
      <w:pPr>
        <w:keepNext/>
        <w:spacing w:before="40" w:after="80" w:line="240" w:lineRule="auto"/>
        <w:jc w:val="center"/>
      </w:pPr>
      <w:r>
        <w:rPr>
          <w:rFonts w:ascii="Century Gothic" w:hAnsi="Century Gothic" w:cs="Century Gothic" w:eastAsia="Century Gothic"/>
          <w:b/>
          <w:i w:val="0"/>
          <w:sz w:val="20"/>
        </w:rPr>
        <w:t>Cuadro 4. Ciclos del examen de grado de licenciatura</w:t>
      </w:r>
    </w:p>
    <w:tbl>
      <w:tblPr>
        <w:tblW w:type="auto" w:w="0"/>
        <w:jc w:val="center"/>
        <w:tblLayout w:type="fixed"/>
        <w:tblLook w:firstColumn="1" w:firstRow="1" w:lastColumn="0" w:lastRow="0" w:noHBand="0" w:noVBand="1" w:val="04A0"/>
      </w:tblPr>
      <w:tblGrid>
        <w:gridCol w:w="3005"/>
        <w:gridCol w:w="3005"/>
        <w:gridCol w:w="3061"/>
      </w:tblGrid>
      <w:tr>
        <w:trPr>
          <w:tblHeader/>
        </w:trPr>
        <w:tc>
          <w:tcPr>
            <w:tcW w:type="dxa" w:w="300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Ciclo básico de información financiera y de gestión</w:t>
            </w:r>
          </w:p>
        </w:tc>
        <w:tc>
          <w:tcPr>
            <w:tcW w:type="dxa" w:w="300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Ciclo especializado de información financiera y finanzas</w:t>
            </w:r>
          </w:p>
        </w:tc>
        <w:tc>
          <w:tcPr>
            <w:tcW w:type="dxa" w:w="30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Ciclo de servicios de aseguramiento</w:t>
            </w:r>
          </w:p>
        </w:tc>
      </w:tr>
      <w:tr>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18"/>
              </w:rPr>
              <w:t>▪</w:t>
              <w:tab/>
            </w:r>
            <w:r>
              <w:rPr>
                <w:rFonts w:ascii="Century Gothic" w:hAnsi="Century Gothic" w:cs="Century Gothic" w:eastAsia="Century Gothic"/>
                <w:b w:val="0"/>
                <w:i w:val="0"/>
                <w:sz w:val="18"/>
              </w:rPr>
              <w:t>Contabilidad Básica</w:t>
            </w:r>
          </w:p>
          <w:p>
            <w:pPr>
              <w:tabs>
                <w:tab w:pos="255" w:val="left"/>
              </w:tabs>
              <w:spacing w:before="0" w:after="0" w:line="240" w:lineRule="auto"/>
              <w:ind w:left="255" w:hanging="255"/>
              <w:jc w:val="left"/>
            </w:pPr>
            <w:r>
              <w:rPr>
                <w:rFonts w:ascii="Century Gothic" w:hAnsi="Century Gothic" w:cs="Century Gothic" w:eastAsia="Century Gothic"/>
                <w:sz w:val="18"/>
              </w:rPr>
              <w:t>▪</w:t>
              <w:tab/>
            </w:r>
            <w:r>
              <w:rPr>
                <w:rFonts w:ascii="Century Gothic" w:hAnsi="Century Gothic" w:cs="Century Gothic" w:eastAsia="Century Gothic"/>
                <w:b w:val="0"/>
                <w:i w:val="0"/>
                <w:sz w:val="18"/>
              </w:rPr>
              <w:t>Contabilidad Intermedia</w:t>
            </w:r>
          </w:p>
          <w:p>
            <w:pPr>
              <w:tabs>
                <w:tab w:pos="255" w:val="left"/>
              </w:tabs>
              <w:spacing w:before="0" w:after="0" w:line="240" w:lineRule="auto"/>
              <w:ind w:left="255" w:hanging="255"/>
              <w:jc w:val="left"/>
            </w:pPr>
            <w:r>
              <w:rPr>
                <w:rFonts w:ascii="Century Gothic" w:hAnsi="Century Gothic" w:cs="Century Gothic" w:eastAsia="Century Gothic"/>
                <w:sz w:val="18"/>
              </w:rPr>
              <w:t>▪</w:t>
              <w:tab/>
            </w:r>
            <w:r>
              <w:rPr>
                <w:rFonts w:ascii="Century Gothic" w:hAnsi="Century Gothic" w:cs="Century Gothic" w:eastAsia="Century Gothic"/>
                <w:b w:val="0"/>
                <w:i w:val="0"/>
                <w:sz w:val="18"/>
              </w:rPr>
              <w:t>Contabilidad de Sociedades</w:t>
            </w:r>
          </w:p>
          <w:p>
            <w:pPr>
              <w:tabs>
                <w:tab w:pos="255" w:val="left"/>
              </w:tabs>
              <w:spacing w:before="0" w:after="0" w:line="240" w:lineRule="auto"/>
              <w:ind w:left="255" w:hanging="255"/>
              <w:jc w:val="left"/>
            </w:pPr>
            <w:r>
              <w:rPr>
                <w:rFonts w:ascii="Century Gothic" w:hAnsi="Century Gothic" w:cs="Century Gothic" w:eastAsia="Century Gothic"/>
                <w:sz w:val="18"/>
              </w:rPr>
              <w:t>▪</w:t>
              <w:tab/>
            </w:r>
            <w:r>
              <w:rPr>
                <w:rFonts w:ascii="Century Gothic" w:hAnsi="Century Gothic" w:cs="Century Gothic" w:eastAsia="Century Gothic"/>
                <w:b w:val="0"/>
                <w:i w:val="0"/>
                <w:sz w:val="18"/>
              </w:rPr>
              <w:t>Contabilidad de Tributos</w:t>
            </w:r>
          </w:p>
          <w:p>
            <w:pPr>
              <w:tabs>
                <w:tab w:pos="255" w:val="left"/>
              </w:tabs>
              <w:spacing w:before="0" w:after="0" w:line="240" w:lineRule="auto"/>
              <w:ind w:left="255" w:hanging="255"/>
              <w:jc w:val="left"/>
            </w:pPr>
            <w:r>
              <w:rPr>
                <w:rFonts w:ascii="Century Gothic" w:hAnsi="Century Gothic" w:cs="Century Gothic" w:eastAsia="Century Gothic"/>
                <w:sz w:val="18"/>
              </w:rPr>
              <w:t>▪</w:t>
              <w:tab/>
            </w:r>
            <w:r>
              <w:rPr>
                <w:rFonts w:ascii="Century Gothic" w:hAnsi="Century Gothic" w:cs="Century Gothic" w:eastAsia="Century Gothic"/>
                <w:b w:val="0"/>
                <w:i w:val="0"/>
                <w:sz w:val="18"/>
              </w:rPr>
              <w:t>Contabilidad Internacional</w:t>
            </w:r>
          </w:p>
          <w:p>
            <w:pPr>
              <w:tabs>
                <w:tab w:pos="255" w:val="left"/>
              </w:tabs>
              <w:spacing w:before="0" w:after="0" w:line="240" w:lineRule="auto"/>
              <w:ind w:left="255" w:hanging="255"/>
              <w:jc w:val="left"/>
            </w:pPr>
            <w:r>
              <w:rPr>
                <w:rFonts w:ascii="Century Gothic" w:hAnsi="Century Gothic" w:cs="Century Gothic" w:eastAsia="Century Gothic"/>
                <w:sz w:val="18"/>
              </w:rPr>
              <w:t>▪</w:t>
              <w:tab/>
            </w:r>
            <w:r>
              <w:rPr>
                <w:rFonts w:ascii="Century Gothic" w:hAnsi="Century Gothic" w:cs="Century Gothic" w:eastAsia="Century Gothic"/>
                <w:b w:val="0"/>
                <w:i w:val="0"/>
                <w:sz w:val="18"/>
              </w:rPr>
              <w:t>Contabilidad de Costos y Gestión</w:t>
            </w:r>
          </w:p>
        </w:tc>
        <w:tc>
          <w:tcPr>
            <w:tcW w:type="dxa" w:w="3005"/>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18"/>
              </w:rPr>
              <w:t>▪</w:t>
              <w:tab/>
            </w:r>
            <w:r>
              <w:rPr>
                <w:rFonts w:ascii="Century Gothic" w:hAnsi="Century Gothic" w:cs="Century Gothic" w:eastAsia="Century Gothic"/>
                <w:b w:val="0"/>
                <w:i w:val="0"/>
                <w:sz w:val="18"/>
              </w:rPr>
              <w:t>Contabilidad de Bancos y Entidades Financieras</w:t>
            </w:r>
          </w:p>
          <w:p>
            <w:pPr>
              <w:tabs>
                <w:tab w:pos="255" w:val="left"/>
              </w:tabs>
              <w:spacing w:before="0" w:after="0" w:line="240" w:lineRule="auto"/>
              <w:ind w:left="255" w:hanging="255"/>
              <w:jc w:val="left"/>
            </w:pPr>
            <w:r>
              <w:rPr>
                <w:rFonts w:ascii="Century Gothic" w:hAnsi="Century Gothic" w:cs="Century Gothic" w:eastAsia="Century Gothic"/>
                <w:sz w:val="18"/>
              </w:rPr>
              <w:t>▪</w:t>
              <w:tab/>
            </w:r>
            <w:r>
              <w:rPr>
                <w:rFonts w:ascii="Century Gothic" w:hAnsi="Century Gothic" w:cs="Century Gothic" w:eastAsia="Century Gothic"/>
                <w:b w:val="0"/>
                <w:i w:val="0"/>
                <w:sz w:val="18"/>
              </w:rPr>
              <w:t>Contabilidad de Seguros: Privado y Social</w:t>
            </w:r>
          </w:p>
          <w:p>
            <w:pPr>
              <w:tabs>
                <w:tab w:pos="255" w:val="left"/>
              </w:tabs>
              <w:spacing w:before="0" w:after="0" w:line="240" w:lineRule="auto"/>
              <w:ind w:left="255" w:hanging="255"/>
              <w:jc w:val="left"/>
            </w:pPr>
            <w:r>
              <w:rPr>
                <w:rFonts w:ascii="Century Gothic" w:hAnsi="Century Gothic" w:cs="Century Gothic" w:eastAsia="Century Gothic"/>
                <w:sz w:val="18"/>
              </w:rPr>
              <w:t>▪</w:t>
              <w:tab/>
            </w:r>
            <w:r>
              <w:rPr>
                <w:rFonts w:ascii="Century Gothic" w:hAnsi="Century Gothic" w:cs="Century Gothic" w:eastAsia="Century Gothic"/>
                <w:b w:val="0"/>
                <w:i w:val="0"/>
                <w:sz w:val="18"/>
              </w:rPr>
              <w:t>Contabilidad Minera y Petrolera</w:t>
            </w:r>
          </w:p>
          <w:p>
            <w:pPr>
              <w:tabs>
                <w:tab w:pos="255" w:val="left"/>
              </w:tabs>
              <w:spacing w:before="0" w:after="0" w:line="240" w:lineRule="auto"/>
              <w:ind w:left="255" w:hanging="255"/>
              <w:jc w:val="left"/>
            </w:pPr>
            <w:r>
              <w:rPr>
                <w:rFonts w:ascii="Century Gothic" w:hAnsi="Century Gothic" w:cs="Century Gothic" w:eastAsia="Century Gothic"/>
                <w:sz w:val="18"/>
              </w:rPr>
              <w:t>▪</w:t>
              <w:tab/>
            </w:r>
            <w:r>
              <w:rPr>
                <w:rFonts w:ascii="Century Gothic" w:hAnsi="Century Gothic" w:cs="Century Gothic" w:eastAsia="Century Gothic"/>
                <w:b w:val="0"/>
                <w:i w:val="0"/>
                <w:sz w:val="18"/>
              </w:rPr>
              <w:t>Contabilidad Agrícola y Ganadera</w:t>
            </w:r>
          </w:p>
          <w:p>
            <w:pPr>
              <w:tabs>
                <w:tab w:pos="255" w:val="left"/>
              </w:tabs>
              <w:spacing w:before="0" w:after="0" w:line="240" w:lineRule="auto"/>
              <w:ind w:left="255" w:hanging="255"/>
              <w:jc w:val="left"/>
            </w:pPr>
            <w:r>
              <w:rPr>
                <w:rFonts w:ascii="Century Gothic" w:hAnsi="Century Gothic" w:cs="Century Gothic" w:eastAsia="Century Gothic"/>
                <w:sz w:val="18"/>
              </w:rPr>
              <w:t>▪</w:t>
              <w:tab/>
            </w:r>
            <w:r>
              <w:rPr>
                <w:rFonts w:ascii="Century Gothic" w:hAnsi="Century Gothic" w:cs="Century Gothic" w:eastAsia="Century Gothic"/>
                <w:b w:val="0"/>
                <w:i w:val="0"/>
                <w:sz w:val="18"/>
              </w:rPr>
              <w:t>Contabilidad y Presupuestos Gubernamental</w:t>
            </w:r>
          </w:p>
          <w:p>
            <w:pPr>
              <w:tabs>
                <w:tab w:pos="255" w:val="left"/>
              </w:tabs>
              <w:spacing w:before="0" w:after="0" w:line="240" w:lineRule="auto"/>
              <w:ind w:left="255" w:hanging="255"/>
              <w:jc w:val="left"/>
            </w:pPr>
            <w:r>
              <w:rPr>
                <w:rFonts w:ascii="Century Gothic" w:hAnsi="Century Gothic" w:cs="Century Gothic" w:eastAsia="Century Gothic"/>
                <w:sz w:val="18"/>
              </w:rPr>
              <w:t>▪</w:t>
              <w:tab/>
            </w:r>
            <w:r>
              <w:rPr>
                <w:rFonts w:ascii="Century Gothic" w:hAnsi="Century Gothic" w:cs="Century Gothic" w:eastAsia="Century Gothic"/>
                <w:b w:val="0"/>
                <w:i w:val="0"/>
                <w:sz w:val="18"/>
              </w:rPr>
              <w:t>Finanzas Corporativas</w:t>
            </w:r>
          </w:p>
        </w:tc>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18"/>
              </w:rPr>
              <w:t>▪</w:t>
              <w:tab/>
            </w:r>
            <w:r>
              <w:rPr>
                <w:rFonts w:ascii="Century Gothic" w:hAnsi="Century Gothic" w:cs="Century Gothic" w:eastAsia="Century Gothic"/>
                <w:b w:val="0"/>
                <w:i w:val="0"/>
                <w:sz w:val="18"/>
              </w:rPr>
              <w:t>Auditoría Financiera</w:t>
            </w:r>
          </w:p>
          <w:p>
            <w:pPr>
              <w:tabs>
                <w:tab w:pos="255" w:val="left"/>
              </w:tabs>
              <w:spacing w:before="0" w:after="0" w:line="240" w:lineRule="auto"/>
              <w:ind w:left="255" w:hanging="255"/>
              <w:jc w:val="left"/>
            </w:pPr>
            <w:r>
              <w:rPr>
                <w:rFonts w:ascii="Century Gothic" w:hAnsi="Century Gothic" w:cs="Century Gothic" w:eastAsia="Century Gothic"/>
                <w:sz w:val="18"/>
              </w:rPr>
              <w:t>▪</w:t>
              <w:tab/>
            </w:r>
            <w:r>
              <w:rPr>
                <w:rFonts w:ascii="Century Gothic" w:hAnsi="Century Gothic" w:cs="Century Gothic" w:eastAsia="Century Gothic"/>
                <w:b w:val="0"/>
                <w:i w:val="0"/>
                <w:sz w:val="18"/>
              </w:rPr>
              <w:t>Auditoría Interna, Control Interno y Gestión de Riesgos</w:t>
            </w:r>
          </w:p>
          <w:p>
            <w:pPr>
              <w:tabs>
                <w:tab w:pos="255" w:val="left"/>
              </w:tabs>
              <w:spacing w:before="0" w:after="0" w:line="240" w:lineRule="auto"/>
              <w:ind w:left="255" w:hanging="255"/>
              <w:jc w:val="left"/>
            </w:pPr>
            <w:r>
              <w:rPr>
                <w:rFonts w:ascii="Century Gothic" w:hAnsi="Century Gothic" w:cs="Century Gothic" w:eastAsia="Century Gothic"/>
                <w:sz w:val="18"/>
              </w:rPr>
              <w:t>▪</w:t>
              <w:tab/>
            </w:r>
            <w:r>
              <w:rPr>
                <w:rFonts w:ascii="Century Gothic" w:hAnsi="Century Gothic" w:cs="Century Gothic" w:eastAsia="Century Gothic"/>
                <w:b w:val="0"/>
                <w:i w:val="0"/>
                <w:sz w:val="18"/>
              </w:rPr>
              <w:t>Auditoría Operativa</w:t>
            </w:r>
          </w:p>
          <w:p>
            <w:pPr>
              <w:tabs>
                <w:tab w:pos="255" w:val="left"/>
              </w:tabs>
              <w:spacing w:before="0" w:after="0" w:line="240" w:lineRule="auto"/>
              <w:ind w:left="255" w:hanging="255"/>
              <w:jc w:val="left"/>
            </w:pPr>
            <w:r>
              <w:rPr>
                <w:rFonts w:ascii="Century Gothic" w:hAnsi="Century Gothic" w:cs="Century Gothic" w:eastAsia="Century Gothic"/>
                <w:sz w:val="18"/>
              </w:rPr>
              <w:t>▪</w:t>
              <w:tab/>
            </w:r>
            <w:r>
              <w:rPr>
                <w:rFonts w:ascii="Century Gothic" w:hAnsi="Century Gothic" w:cs="Century Gothic" w:eastAsia="Century Gothic"/>
                <w:b w:val="0"/>
                <w:i w:val="0"/>
                <w:sz w:val="18"/>
              </w:rPr>
              <w:t>Auditoría Gubernamental</w:t>
            </w:r>
          </w:p>
          <w:p>
            <w:pPr>
              <w:tabs>
                <w:tab w:pos="255" w:val="left"/>
              </w:tabs>
              <w:spacing w:before="0" w:after="0" w:line="240" w:lineRule="auto"/>
              <w:ind w:left="255" w:hanging="255"/>
              <w:jc w:val="left"/>
            </w:pPr>
            <w:r>
              <w:rPr>
                <w:rFonts w:ascii="Century Gothic" w:hAnsi="Century Gothic" w:cs="Century Gothic" w:eastAsia="Century Gothic"/>
                <w:sz w:val="18"/>
              </w:rPr>
              <w:t>▪</w:t>
              <w:tab/>
            </w:r>
            <w:r>
              <w:rPr>
                <w:rFonts w:ascii="Century Gothic" w:hAnsi="Century Gothic" w:cs="Century Gothic" w:eastAsia="Century Gothic"/>
                <w:b w:val="0"/>
                <w:i w:val="0"/>
                <w:sz w:val="18"/>
              </w:rPr>
              <w:t>Auditoría Tributaria</w:t>
            </w:r>
          </w:p>
          <w:p>
            <w:pPr>
              <w:tabs>
                <w:tab w:pos="255" w:val="left"/>
              </w:tabs>
              <w:spacing w:before="0" w:after="0" w:line="240" w:lineRule="auto"/>
              <w:ind w:left="255" w:hanging="255"/>
              <w:jc w:val="left"/>
            </w:pPr>
            <w:r>
              <w:rPr>
                <w:rFonts w:ascii="Century Gothic" w:hAnsi="Century Gothic" w:cs="Century Gothic" w:eastAsia="Century Gothic"/>
                <w:sz w:val="18"/>
              </w:rPr>
              <w:t>▪</w:t>
              <w:tab/>
            </w:r>
            <w:r>
              <w:rPr>
                <w:rFonts w:ascii="Century Gothic" w:hAnsi="Century Gothic" w:cs="Century Gothic" w:eastAsia="Century Gothic"/>
                <w:b w:val="0"/>
                <w:i w:val="0"/>
                <w:sz w:val="18"/>
              </w:rPr>
              <w:t>Auditoría de Proyectos Públicos y Privados</w:t>
            </w:r>
          </w:p>
          <w:p>
            <w:pPr>
              <w:tabs>
                <w:tab w:pos="255" w:val="left"/>
              </w:tabs>
              <w:spacing w:before="0" w:after="0" w:line="240" w:lineRule="auto"/>
              <w:ind w:left="255" w:hanging="255"/>
              <w:jc w:val="left"/>
            </w:pPr>
            <w:r>
              <w:rPr>
                <w:rFonts w:ascii="Century Gothic" w:hAnsi="Century Gothic" w:cs="Century Gothic" w:eastAsia="Century Gothic"/>
                <w:sz w:val="18"/>
              </w:rPr>
              <w:t>▪</w:t>
              <w:tab/>
            </w:r>
            <w:r>
              <w:rPr>
                <w:rFonts w:ascii="Century Gothic" w:hAnsi="Century Gothic" w:cs="Century Gothic" w:eastAsia="Century Gothic"/>
                <w:b w:val="0"/>
                <w:i w:val="0"/>
                <w:sz w:val="18"/>
              </w:rPr>
              <w:t>Auditoría de Entidades Financieras y Servicios Relacionados</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Antes de cada convocatoria se organizarán talleres de repaso de una a dos semanas, a cargo de los docentes de cada área. El postulante que repruebe tres veces un mismo ciclo no queda inhabilitado de forma definitiva: puede recuperar su derecho mediante un diplomado de actualización o un programa de créditos complementarios, conforme al reglamento específico.</w:t>
      </w:r>
    </w:p>
    <w:p>
      <w:pPr>
        <w:spacing w:before="0" w:after="200" w:line="240" w:lineRule="auto"/>
        <w:jc w:val="both"/>
      </w:pPr>
      <w:r>
        <w:rPr>
          <w:rFonts w:ascii="Century Gothic" w:hAnsi="Century Gothic" w:cs="Century Gothic" w:eastAsia="Century Gothic"/>
          <w:b/>
          <w:i w:val="0"/>
          <w:sz w:val="20"/>
        </w:rPr>
        <w:t>e. Graduación por excelencia.</w:t>
      </w:r>
      <w:r>
        <w:rPr>
          <w:rFonts w:ascii="Century Gothic" w:hAnsi="Century Gothic" w:cs="Century Gothic" w:eastAsia="Century Gothic"/>
          <w:b w:val="0"/>
          <w:i w:val="0"/>
          <w:sz w:val="20"/>
        </w:rPr>
        <w:t xml:space="preserve"> Exime al estudiante sobresaliente de exámenes o trabajos finales, como reconocimiento a su rendimiento continuo. Requisitos: haber aprobado las 43 asignaturas en primera instancia, sin reprobaciones, abandonos ni mesas de examen; haber concluido el plan en el tiempo reglamentario de cinco años; y acreditar un promedio general igual o superior al fijado por la normativa de la Facultad y de la UMSA, actualmente de 75 puntos. Se tramita con la verificación del kárdex y concluye con la resolución que otorga la titulación.</w:t>
      </w:r>
    </w:p>
    <w:p>
      <w:pPr>
        <w:spacing w:before="0" w:after="200" w:line="240" w:lineRule="auto"/>
        <w:jc w:val="both"/>
      </w:pPr>
      <w:r>
        <w:rPr>
          <w:rFonts w:ascii="Century Gothic" w:hAnsi="Century Gothic" w:cs="Century Gothic" w:eastAsia="Century Gothic"/>
          <w:b/>
          <w:i w:val="0"/>
          <w:sz w:val="20"/>
        </w:rPr>
        <w:t>f. Articulación entre grado y postgrado mediante diplomado.</w:t>
      </w:r>
      <w:r>
        <w:rPr>
          <w:rFonts w:ascii="Century Gothic" w:hAnsi="Century Gothic" w:cs="Century Gothic" w:eastAsia="Century Gothic"/>
          <w:b w:val="0"/>
          <w:i w:val="0"/>
          <w:sz w:val="20"/>
        </w:rPr>
        <w:t xml:space="preserve"> Conforme al Título IV del Reglamento General de Estudios de Posgrado del Sistema de la Universidad Boliviana, el estudiante de quinto año o egresado puede cursar un diplomado acreditado y aprobado por el Honorable Consejo Facultativo, en áreas de especialización contable o de aseguramiento, como tributación internacional, auditoría digital o gestión integral de riesgos, y titularse mediante una monografía de investigación aplicada, un examen de contenidos del programa o la graduación por excelencia en el diplomado. La carga horaria del diplomado se ajusta a la normativa de postgrado vigente.</w:t>
      </w:r>
    </w:p>
    <w:p>
      <w:pPr>
        <w:spacing w:before="0" w:after="200" w:line="240" w:lineRule="auto"/>
        <w:jc w:val="both"/>
      </w:pPr>
      <w:r>
        <w:rPr>
          <w:rFonts w:ascii="Century Gothic" w:hAnsi="Century Gothic" w:cs="Century Gothic" w:eastAsia="Century Gothic"/>
          <w:b/>
          <w:i w:val="0"/>
          <w:sz w:val="20"/>
        </w:rPr>
        <w:t>g. Plan Excepcional de Titulación para Antiguos Estudiantes No Graduados, PETAENG.</w:t>
      </w:r>
      <w:r>
        <w:rPr>
          <w:rFonts w:ascii="Century Gothic" w:hAnsi="Century Gothic" w:cs="Century Gothic" w:eastAsia="Century Gothic"/>
          <w:b w:val="0"/>
          <w:i w:val="0"/>
          <w:sz w:val="20"/>
        </w:rPr>
        <w:t xml:space="preserve"> Programa de actualización y titulación dirigido a egresados que concluyeron el plan de estudios y tienen tres o más años de antigüedad sin haberse graduado. Comprende módulos de actualización profesional y un trabajo académico diferenciado, como una actualización normativa, una monografía de sistematización o un proyecto de aplicación, con defensa oral ante tribunal.</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5.4.3</w:t>
        <w:tab/>
      </w:r>
      <w:r>
        <w:rPr>
          <w:rFonts w:ascii="Century Gothic" w:hAnsi="Century Gothic" w:cs="Century Gothic" w:eastAsia="Century Gothic"/>
          <w:b/>
          <w:i w:val="0"/>
          <w:sz w:val="22"/>
        </w:rPr>
        <w:t>Modalidad de graduación para técnico superior</w:t>
      </w:r>
    </w:p>
    <w:p>
      <w:pPr>
        <w:spacing w:before="0" w:after="200" w:line="240" w:lineRule="auto"/>
        <w:jc w:val="both"/>
      </w:pPr>
      <w:r>
        <w:rPr>
          <w:rFonts w:ascii="Century Gothic" w:hAnsi="Century Gothic" w:cs="Century Gothic" w:eastAsia="Century Gothic"/>
          <w:b w:val="0"/>
          <w:i w:val="0"/>
          <w:sz w:val="20"/>
        </w:rPr>
        <w:t>El grado de Técnico Universitario Superior en Contabilidad General se obtiene mediante el examen de grado técnico superior, que se rinde después de aprobar las 24 asignaturas hasta el tercer año. Es un examen único ante tribunal, convocado por el Director de Carrera dos veces al año, con la participación de los docentes de las asignaturas evaluadas, y se aprueba con 51 puntos sobre 100. Comprende las siguientes asignaturas: Contabilidad Básica, Contabilidad Intermedia, Contabilidad de Sociedades, Contabilidad de Tributos, Contabilidad Internacional, Contabilidad de Costos y Gestión, Contabilidad de Bancos y Entidades Financieras, y Contabilidad y Presupuestos Gubernamental.</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5.4.4</w:t>
        <w:tab/>
      </w:r>
      <w:r>
        <w:rPr>
          <w:rFonts w:ascii="Century Gothic" w:hAnsi="Century Gothic" w:cs="Century Gothic" w:eastAsia="Century Gothic"/>
          <w:b/>
          <w:i w:val="0"/>
          <w:sz w:val="22"/>
        </w:rPr>
        <w:t>Simplificación de los trámites de graduación</w:t>
      </w:r>
    </w:p>
    <w:p>
      <w:pPr>
        <w:spacing w:before="0" w:after="200" w:line="240" w:lineRule="auto"/>
        <w:jc w:val="both"/>
      </w:pPr>
      <w:r>
        <w:rPr>
          <w:rFonts w:ascii="Century Gothic" w:hAnsi="Century Gothic" w:cs="Century Gothic" w:eastAsia="Century Gothic"/>
          <w:b w:val="0"/>
          <w:i w:val="0"/>
          <w:sz w:val="20"/>
        </w:rPr>
        <w:t>El diagnóstico identifica trámites que encarecen y demoran la graduación, como la entrega de siete ejemplares empastados en varias etapas de revisión. Por ello, la presentación, la revisión de perfiles y borradores y la entrega de tesis, proyectos de grado y trabajos dirigidos se realizarán en formato digital con firma digital o correo institucional, y la entrega física se limitará a un ejemplar empastado final para la Biblioteca de la Carrera.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5.4.5</w:t>
        <w:tab/>
      </w:r>
      <w:r>
        <w:rPr>
          <w:rFonts w:ascii="Century Gothic" w:hAnsi="Century Gothic" w:cs="Century Gothic" w:eastAsia="Century Gothic"/>
          <w:b/>
          <w:i w:val="0"/>
          <w:sz w:val="22"/>
        </w:rPr>
        <w:t>Trámite de grados y títulos</w:t>
      </w:r>
    </w:p>
    <w:p>
      <w:pPr>
        <w:spacing w:before="0" w:after="200" w:line="240" w:lineRule="auto"/>
        <w:jc w:val="both"/>
      </w:pPr>
      <w:r>
        <w:rPr>
          <w:rFonts w:ascii="Century Gothic" w:hAnsi="Century Gothic" w:cs="Century Gothic" w:eastAsia="Century Gothic"/>
          <w:b w:val="0"/>
          <w:i w:val="0"/>
          <w:sz w:val="20"/>
        </w:rPr>
        <w:t>Aprobada la modalidad de graduación y registrada en el acta de defensa, el graduado tramita el Diploma Académico de Licenciado(a) en Contaduría Pública, expedido por la UMSA tras la verificación de su expediente en el Departamento de Títulos y Grados, y el Título en Provisión Nacional de Contador Público Autorizado, que habilita el ejercicio legal de la profesión en todo el territorio nacional y la matriculación en el Colegio de Auditores o Contadores Públicos de Bolivia.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5.4.6</w:t>
        <w:tab/>
      </w:r>
      <w:r>
        <w:rPr>
          <w:rFonts w:ascii="Century Gothic" w:hAnsi="Century Gothic" w:cs="Century Gothic" w:eastAsia="Century Gothic"/>
          <w:b/>
          <w:i w:val="0"/>
          <w:sz w:val="22"/>
        </w:rPr>
        <w:t>Correspondencia entre problemas y medidas</w:t>
      </w:r>
    </w:p>
    <w:p>
      <w:pPr>
        <w:keepNext/>
        <w:spacing w:before="40" w:after="80" w:line="240" w:lineRule="auto"/>
        <w:jc w:val="center"/>
      </w:pPr>
      <w:r>
        <w:rPr>
          <w:rFonts w:ascii="Century Gothic" w:hAnsi="Century Gothic" w:cs="Century Gothic" w:eastAsia="Century Gothic"/>
          <w:b/>
          <w:i w:val="0"/>
          <w:sz w:val="20"/>
        </w:rPr>
        <w:t>Cuadro 5. Problemas identificados y medidas del nuevo plan</w:t>
      </w:r>
    </w:p>
    <w:tbl>
      <w:tblPr>
        <w:tblW w:type="auto" w:w="0"/>
        <w:jc w:val="center"/>
        <w:tblLayout w:type="fixed"/>
        <w:tblLook w:firstColumn="1" w:firstRow="1" w:lastColumn="0" w:lastRow="0" w:noHBand="0" w:noVBand="1" w:val="04A0"/>
      </w:tblPr>
      <w:tblGrid>
        <w:gridCol w:w="1361"/>
        <w:gridCol w:w="3175"/>
        <w:gridCol w:w="3628"/>
        <w:gridCol w:w="907"/>
      </w:tblGrid>
      <w:tr>
        <w:trPr>
          <w:tblHeader/>
        </w:trPr>
        <w:tc>
          <w:tcPr>
            <w:tcW w:type="dxa" w:w="13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Proceso</w:t>
            </w:r>
          </w:p>
        </w:tc>
        <w:tc>
          <w:tcPr>
            <w:tcW w:type="dxa" w:w="317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Problema identificado</w:t>
            </w:r>
          </w:p>
        </w:tc>
        <w:tc>
          <w:tcPr>
            <w:tcW w:type="dxa" w:w="36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Medida del Plan 2027</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Punto</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Admisión</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Evaluación de ingreso limitada</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Diversificación de la evaluación de ingreso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5.2.2</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Admisión</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Ausencia de registro diagnóstico</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Expediente digital diagnóstico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5.2.2</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Admisión</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Deserción temprana</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Nivelación temprana de cuatro semanas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5.2.2</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Promoción</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Oferta rígida y requisito de nota previa en temporada</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Recuperación con tutoría obligatoria y modalidad híbrida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5.3.3</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Promoción</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Seguimiento reactivo y falta de tutoría</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Alerta temprana y tutoría entre pares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5.3.5</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Promoción</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Falta de apoyo previo a las mesas de examen</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Seminarios de resolución de casos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5.3.4</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Promoción</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Falta de solucionarios y rúbricas publicados</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Publicación obligatoria en 48 horas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5.3.5</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Graduación</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Trámites con ejemplares impresos</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Repositorio y trámite digital</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5.4.4</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Graduación</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Inhabilitación definitiva en el examen de grado</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Rehabilitación por diplomado o créditos y talleres de repaso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5.4.2</w:t>
            </w:r>
          </w:p>
        </w:tc>
      </w:tr>
      <w:tr>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Graduación</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Concentración en el examen de grado y poca investigación</w:t>
            </w:r>
          </w:p>
        </w:tc>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Diplomado, proyecto de grado y trabajo dirigido articulados con las prácticas y el Instituto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5.4.2</w:t>
            </w:r>
          </w:p>
        </w:tc>
      </w:tr>
    </w:tbl>
    <w:p>
      <w:pPr>
        <w:spacing w:before="0" w:after="120" w:line="240" w:lineRule="auto"/>
        <w:jc w:val="left"/>
      </w:pP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 w:numId="902">
    <w:abstractNumId w:val="900"/>
    <w:lvlOverride w:ilvl="0">
      <w:startOverride w:val="1"/>
    </w:lvlOverride>
  </w:num>
  <w:num w:numId="903">
    <w:abstractNumId w:val="900"/>
    <w:lvlOverride w:ilvl="0">
      <w:startOverride w:val="1"/>
    </w:lvlOverride>
  </w:num>
  <w:num w:numId="904">
    <w:abstractNumId w:val="900"/>
    <w:lvlOverride w:ilvl="0">
      <w:startOverride w:val="1"/>
    </w:lvlOverride>
  </w:num>
  <w:num w:numId="905">
    <w:abstractNumId w:val="900"/>
    <w:lvlOverride w:ilvl="0">
      <w:startOverride w:val="1"/>
    </w:lvlOverride>
  </w:num>
  <w:num w:numId="906">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