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line="240" w:lineRule="auto"/>
        <w:jc w:val="center"/>
      </w:pPr>
      <w:r>
        <w:rPr>
          <w:rFonts w:ascii="Century Gothic" w:hAnsi="Century Gothic" w:cs="Century Gothic" w:eastAsia="Century Gothic"/>
          <w:b/>
          <w:sz w:val="28"/>
        </w:rPr>
        <w:t>Diseño Curricular</w:t>
      </w:r>
    </w:p>
    <w:p>
      <w:pPr>
        <w:spacing w:before="0" w:after="360" w:line="240" w:lineRule="auto"/>
        <w:jc w:val="center"/>
      </w:pPr>
      <w:r>
        <w:rPr>
          <w:rFonts w:ascii="Century Gothic" w:hAnsi="Century Gothic" w:cs="Century Gothic" w:eastAsia="Century Gothic"/>
          <w:b/>
          <w:sz w:val="28"/>
        </w:rPr>
        <w:t>Aspectos Académicos</w:t>
      </w:r>
    </w:p>
    <w:p w14:paraId="2C688842" w14:textId="77777777" w:rsidR="00EE70B8" w:rsidRDefault="00C15354">
      <w:pPr>
        <w:spacing w:after="60" w:line="240" w:lineRule="auto"/>
        <w:rPr>
          <w:rFonts w:ascii="Century Gothic" w:hAnsi="Century Gothic" w:cs="Century Gothic" w:eastAsia="Century Gothic"/>
          <w:sz w:val="20"/>
          <w:szCs w:val="20"/>
        </w:rPr>
      </w:pPr>
      <w:r>
        <w:rPr>
          <w:rFonts w:ascii="Century Gothic" w:hAnsi="Century Gothic" w:cs="Century Gothic" w:eastAsia="Century Gothic"/>
          <w:i/>
          <w:iCs/>
          <w:sz w:val="20"/>
          <w:szCs w:val="20"/>
        </w:rPr>
        <w:t>Nivel: Licenciatura en Contaduría Pública</w:t>
      </w:r>
    </w:p>
    <w:p w14:paraId="41400AEB" w14:textId="77777777" w:rsidR="00EE70B8" w:rsidRDefault="00C15354">
      <w:pPr>
        <w:spacing w:after="60" w:line="240" w:lineRule="auto"/>
        <w:jc w:val="center"/>
        <w:rPr>
          <w:rFonts w:ascii="Century Gothic" w:hAnsi="Century Gothic" w:cs="Century Gothic" w:eastAsia="Century Gothic"/>
          <w:sz w:val="20"/>
          <w:szCs w:val="20"/>
        </w:rPr>
      </w:pPr>
      <w:r>
        <w:rPr>
          <w:rFonts w:ascii="Century Gothic" w:hAnsi="Century Gothic" w:cs="Century Gothic" w:eastAsia="Century Gothic"/>
          <w:b/>
          <w:bCs/>
          <w:sz w:val="20"/>
          <w:szCs w:val="20"/>
        </w:rPr>
        <w:t>TERCER AÑO</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Look w:val="0400" w:firstRow="0" w:lastRow="0" w:firstColumn="0" w:lastColumn="0" w:noHBand="0" w:noVBand="1"/>
      </w:tblPr>
      <w:tblGrid>
        <w:gridCol w:w="1175"/>
        <w:gridCol w:w="391"/>
        <w:gridCol w:w="391"/>
        <w:gridCol w:w="391"/>
        <w:gridCol w:w="783"/>
        <w:gridCol w:w="391"/>
        <w:gridCol w:w="391"/>
        <w:gridCol w:w="783"/>
        <w:gridCol w:w="783"/>
        <w:gridCol w:w="391"/>
        <w:gridCol w:w="391"/>
        <w:gridCol w:w="391"/>
        <w:gridCol w:w="391"/>
        <w:gridCol w:w="398"/>
        <w:gridCol w:w="385"/>
        <w:gridCol w:w="1567"/>
      </w:tblGrid>
      <w:tr w:rsidR="00EE70B8" w14:paraId="1F2AA015" w14:textId="77777777">
        <w:tc>
          <w:tcPr>
            <w:tcW w:w="2348"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50EFA306" w14:textId="77777777" w:rsidR="00EE70B8" w:rsidRDefault="00C1535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Asignatura</w:t>
            </w:r>
          </w:p>
        </w:tc>
        <w:tc>
          <w:tcPr>
            <w:tcW w:w="2348"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144E0C3A" w14:textId="77777777" w:rsidR="00EE70B8" w:rsidRDefault="00C1535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Sigla</w:t>
            </w:r>
          </w:p>
        </w:tc>
        <w:tc>
          <w:tcPr>
            <w:tcW w:w="2347" w:type="dxa"/>
            <w:gridSpan w:val="5"/>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1137C7E4" w14:textId="77777777" w:rsidR="00EE70B8" w:rsidRDefault="00C1535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Nivel/Área</w:t>
            </w:r>
          </w:p>
        </w:tc>
        <w:tc>
          <w:tcPr>
            <w:tcW w:w="2350"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23FC3FDC" w14:textId="77777777" w:rsidR="00EE70B8" w:rsidRDefault="00C1535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Prerrequisito</w:t>
            </w:r>
          </w:p>
        </w:tc>
      </w:tr>
      <w:tr w:rsidR="00EE70B8" w14:paraId="65EE5F5A" w14:textId="77777777">
        <w:tc>
          <w:tcPr>
            <w:tcW w:w="2348"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414C1235" w14:textId="77777777" w:rsidR="00EE70B8" w:rsidRDefault="00C1535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Contabilidad de Bancos y Entidades Financieras</w:t>
            </w:r>
          </w:p>
        </w:tc>
        <w:tc>
          <w:tcPr>
            <w:tcW w:w="2348"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1E634729" w14:textId="77777777" w:rsidR="00EE70B8" w:rsidRDefault="00C1535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CPA-303</w:t>
            </w:r>
          </w:p>
        </w:tc>
        <w:tc>
          <w:tcPr>
            <w:tcW w:w="2347" w:type="dxa"/>
            <w:gridSpan w:val="5"/>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61ADA372" w14:textId="77777777" w:rsidR="00EE70B8" w:rsidRDefault="00C1535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Información Financiera</w:t>
            </w:r>
          </w:p>
        </w:tc>
        <w:tc>
          <w:tcPr>
            <w:tcW w:w="2350"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5D64250E" w14:textId="77777777" w:rsidR="00EE70B8" w:rsidRDefault="00C1535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CPA-201, CPA-202, CPA-203</w:t>
            </w:r>
          </w:p>
        </w:tc>
      </w:tr>
      <w:tr w:rsidR="00EE70B8" w14:paraId="410E3ADC" w14:textId="77777777">
        <w:tc>
          <w:tcPr>
            <w:tcW w:w="7043" w:type="dxa"/>
            <w:gridSpan w:val="1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04CCF4AA" w14:textId="77777777" w:rsidR="00EE70B8" w:rsidRDefault="00C1535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Carga Horaria</w:t>
            </w:r>
          </w:p>
        </w:tc>
        <w:tc>
          <w:tcPr>
            <w:tcW w:w="2350"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45D2BFA0" w14:textId="77777777" w:rsidR="00EE70B8" w:rsidRDefault="00C1535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Créditos</w:t>
            </w:r>
          </w:p>
        </w:tc>
      </w:tr>
      <w:tr w:rsidR="00EE70B8" w14:paraId="4E196B40" w14:textId="77777777">
        <w:tc>
          <w:tcPr>
            <w:tcW w:w="1175" w:type="dxa"/>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59F4ECAD" w14:textId="77777777" w:rsidR="00EE70B8" w:rsidRDefault="00C15354">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HP</w:t>
            </w:r>
          </w:p>
        </w:tc>
        <w:tc>
          <w:tcPr>
            <w:tcW w:w="11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24289220" w14:textId="77777777" w:rsidR="00EE70B8" w:rsidRDefault="00C15354">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HAA</w:t>
            </w:r>
          </w:p>
        </w:tc>
        <w:tc>
          <w:tcPr>
            <w:tcW w:w="1174"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437A90F8" w14:textId="77777777" w:rsidR="00EE70B8" w:rsidRDefault="00C15354">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HTG</w:t>
            </w:r>
          </w:p>
        </w:tc>
        <w:tc>
          <w:tcPr>
            <w:tcW w:w="1174"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50184E8A" w14:textId="77777777" w:rsidR="00EE70B8" w:rsidRDefault="00C15354">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HIP</w:t>
            </w:r>
          </w:p>
        </w:tc>
        <w:tc>
          <w:tcPr>
            <w:tcW w:w="1174"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4F89D2CF" w14:textId="77777777" w:rsidR="00EE70B8" w:rsidRDefault="00C15354">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HE</w:t>
            </w:r>
          </w:p>
        </w:tc>
        <w:tc>
          <w:tcPr>
            <w:tcW w:w="11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75691E65" w14:textId="77777777" w:rsidR="00EE70B8" w:rsidRDefault="00C15354">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TOTAL</w:t>
            </w:r>
          </w:p>
        </w:tc>
        <w:tc>
          <w:tcPr>
            <w:tcW w:w="2350" w:type="dxa"/>
            <w:gridSpan w:val="3"/>
            <w:vMerge w:val="restart"/>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CC008AB" w14:textId="77777777" w:rsidR="00EE70B8" w:rsidRDefault="00EE70B8">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8</w:t>
            </w:r>
          </w:p>
        </w:tc>
      </w:tr>
      <w:tr w:rsidR="00EE70B8" w14:paraId="1C311F04" w14:textId="77777777">
        <w:tc>
          <w:tcPr>
            <w:tcW w:w="1175" w:type="dxa"/>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40345C01"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160</w:t>
            </w:r>
          </w:p>
        </w:tc>
        <w:tc>
          <w:tcPr>
            <w:tcW w:w="11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33BA5F77" w14:textId="77777777" w:rsidR="00EE70B8" w:rsidRPr="00C15354" w:rsidRDefault="00C15354">
            <w:pPr>
              <w:spacing w:before="20" w:after="20" w:line="240" w:lineRule="auto"/>
              <w:jc w:val="center"/>
              <w:rPr>
                <w:rFonts w:ascii="Century Gothic" w:hAnsi="Century Gothic" w:cs="Century Gothic" w:eastAsia="Century Gothic"/>
                <w:b/>
                <w:color w:val="FFFFFF"/>
                <w:sz w:val="18"/>
                <w:szCs w:val="18"/>
              </w:rPr>
            </w:pPr>
            <w:r>
              <w:rPr>
                <w:rFonts w:ascii="Century Gothic" w:hAnsi="Century Gothic" w:cs="Century Gothic" w:eastAsia="Century Gothic"/>
                <w:b/>
                <w:color w:val="FFFFFF"/>
                <w:sz w:val="18"/>
                <w:szCs w:val="18"/>
              </w:rPr>
              <w:t>16</w:t>
            </w:r>
          </w:p>
        </w:tc>
        <w:tc>
          <w:tcPr>
            <w:tcW w:w="1174"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0FED2E8D" w14:textId="77777777" w:rsidR="00EE70B8" w:rsidRPr="00C15354" w:rsidRDefault="00C15354">
            <w:pPr>
              <w:spacing w:before="20" w:after="20" w:line="240" w:lineRule="auto"/>
              <w:jc w:val="center"/>
              <w:rPr>
                <w:rFonts w:ascii="Century Gothic" w:hAnsi="Century Gothic" w:cs="Century Gothic" w:eastAsia="Century Gothic"/>
                <w:b/>
                <w:color w:val="FFFFFF"/>
                <w:sz w:val="18"/>
                <w:szCs w:val="18"/>
              </w:rPr>
            </w:pPr>
            <w:r>
              <w:rPr>
                <w:rFonts w:ascii="Century Gothic" w:hAnsi="Century Gothic" w:cs="Century Gothic" w:eastAsia="Century Gothic"/>
                <w:b/>
                <w:color w:val="FFFFFF"/>
                <w:sz w:val="18"/>
                <w:szCs w:val="18"/>
              </w:rPr>
              <w:t>32</w:t>
            </w:r>
          </w:p>
        </w:tc>
        <w:tc>
          <w:tcPr>
            <w:tcW w:w="1174"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191F944B" w14:textId="77777777" w:rsidR="00EE70B8" w:rsidRPr="00C15354" w:rsidRDefault="00C15354">
            <w:pPr>
              <w:spacing w:before="20" w:after="20" w:line="240" w:lineRule="auto"/>
              <w:jc w:val="center"/>
              <w:rPr>
                <w:rFonts w:ascii="Century Gothic" w:hAnsi="Century Gothic" w:cs="Century Gothic" w:eastAsia="Century Gothic"/>
                <w:b/>
                <w:color w:val="FFFFFF"/>
                <w:sz w:val="18"/>
                <w:szCs w:val="18"/>
              </w:rPr>
            </w:pPr>
            <w:r>
              <w:rPr>
                <w:rFonts w:ascii="Century Gothic" w:hAnsi="Century Gothic" w:cs="Century Gothic" w:eastAsia="Century Gothic"/>
                <w:b/>
                <w:color w:val="FFFFFF"/>
                <w:sz w:val="18"/>
                <w:szCs w:val="18"/>
              </w:rPr>
              <w:t>16</w:t>
            </w:r>
          </w:p>
        </w:tc>
        <w:tc>
          <w:tcPr>
            <w:tcW w:w="1174"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6B88B625" w14:textId="77777777" w:rsidR="00EE70B8" w:rsidRPr="00C15354" w:rsidRDefault="00C15354">
            <w:pPr>
              <w:spacing w:before="20" w:after="20" w:line="240" w:lineRule="auto"/>
              <w:jc w:val="center"/>
              <w:rPr>
                <w:rFonts w:ascii="Century Gothic" w:hAnsi="Century Gothic" w:cs="Century Gothic" w:eastAsia="Century Gothic"/>
                <w:b/>
                <w:color w:val="FFFFFF"/>
                <w:sz w:val="18"/>
                <w:szCs w:val="18"/>
              </w:rPr>
            </w:pPr>
            <w:r>
              <w:rPr>
                <w:rFonts w:ascii="Century Gothic" w:hAnsi="Century Gothic" w:cs="Century Gothic" w:eastAsia="Century Gothic"/>
                <w:b/>
                <w:color w:val="FFFFFF"/>
                <w:sz w:val="18"/>
                <w:szCs w:val="18"/>
              </w:rPr>
              <w:t>16</w:t>
            </w:r>
          </w:p>
        </w:tc>
        <w:tc>
          <w:tcPr>
            <w:tcW w:w="11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6C08C6B"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240</w:t>
            </w:r>
          </w:p>
        </w:tc>
        <w:tc>
          <w:tcPr>
            <w:tcW w:w="2350" w:type="dxa"/>
            <w:gridSpan w:val="3"/>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3D7E320"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r>
      <w:tr w:rsidR="00EE70B8" w14:paraId="6F8AD196" w14:textId="77777777">
        <w:tc>
          <w:tcPr>
            <w:tcW w:w="9393" w:type="dxa"/>
            <w:gridSpan w:val="16"/>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237F8E82" w14:textId="77777777" w:rsidR="00EE70B8" w:rsidRDefault="00C1535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Unidad de Competencia</w:t>
            </w:r>
          </w:p>
        </w:tc>
      </w:tr>
      <w:tr w:rsidR="00EE70B8" w14:paraId="353755BC" w14:textId="77777777">
        <w:tc>
          <w:tcPr>
            <w:tcW w:w="9393" w:type="dxa"/>
            <w:gridSpan w:val="16"/>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B9768D2"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 xml:space="preserve"> Registra las transacciones contables de los bancos y las entidades financieras del Sistema Financiero Nacional para la elaboración de estados financieros conforme al Manual de Cuentas de la Autoridad de Supervisión del Sistema Financiero y a las Normas de Contabilidad Generalmente Aceptadas en Bolivia, de las operaciones activas, pasivas, de servicio y financieras que realiza un banco.  </w:t>
            </w:r>
          </w:p>
          <w:p w14:paraId="3A9D078C"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Describe la estructura del sistema financiero y la banca digital con transparencia, rigor técnico, prevención de la legitimación de ganancias ilícitas y apego a la normativa regulatoria y legal vigente en el país.</w:t>
            </w:r>
          </w:p>
        </w:tc>
      </w:tr>
      <w:tr w:rsidR="00EE70B8" w14:paraId="1AEDD3F6" w14:textId="77777777">
        <w:trPr/>
        <w:tc>
          <w:tcPr>
            <w:tcW w:w="9393" w:type="dxa"/>
            <w:gridSpan w:val="16"/>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6E0D8E7" w14:textId="77777777" w:rsidR="00EE70B8" w:rsidRDefault="00C15354">
            <w:pPr>
              <w:spacing w:before="20" w:after="20" w:line="240" w:lineRule="auto"/>
              <w:rPr>
                <w:rFonts w:ascii="Century Gothic" w:hAnsi="Century Gothic" w:cs="Century Gothic" w:eastAsia="Century Gothic"/>
                <w:sz w:val="18"/>
                <w:szCs w:val="18"/>
              </w:rPr>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Describe la estructura del Sistema Financiero Nacional, la clasificación de los bancos y los requisitos de constitución y funcionamiento de las entidades financieras, de acuerdo con la normativa de la Autoridad de Supervisión del Sistema Financiero, y registra las operaciones de disponibilidades y de la cámara de compensación de una entidad financiera, interpretando el saldo de las cuentas y su exposición.</w:t>
            </w:r>
          </w:p>
        </w:tc>
      </w:tr>
      <w:tr w:rsidR="00EE70B8" w14:paraId="4633FC2F" w14:textId="77777777">
        <w:tc>
          <w:tcPr>
            <w:tcW w:w="3131" w:type="dxa"/>
            <w:gridSpan w:val="5"/>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30E94721" w14:textId="77777777" w:rsidR="00EE70B8" w:rsidRDefault="00C1535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Criterios de desempeño</w:t>
            </w: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005A90C3" w14:textId="77777777" w:rsidR="00EE70B8" w:rsidRDefault="00C1535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Evidencias de desempeño</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2D703F2A" w14:textId="77777777" w:rsidR="00EE70B8" w:rsidRDefault="00C1535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Evidencias de producto</w:t>
            </w:r>
          </w:p>
        </w:tc>
      </w:tr>
      <w:tr w:rsidR="00EE70B8" w14:paraId="23075D5F" w14:textId="77777777">
        <w:trPr/>
        <w:tc>
          <w:tcPr>
            <w:tcW w:w="3131" w:type="dxa"/>
            <w:gridSpan w:val="5"/>
            <w:vMerge w:val="restart"/>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35E7BB4"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1. Describe la estructura del Sistema Financiero Nacional, la normativa y los manuales de la ASFI aplicables, y los requisitos y la forma de constitución de una entidad financiera, exponiendo los rubros en los estados financieros.</w:t>
            </w: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14:paraId="6ABC800E"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1.1 Elabora en equipo el esquema del sistema financiero y describe, según la normativa aplicable de la ASFI, la forma de constitución, los requisitos, el capital mínimo y la licencia de funcionamiento de una entidad financiera.</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14:paraId="5C8986DB"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Esquema del sistema financiero boliviano y de la constitución de una entidad financiera según la normativa aplicable de la ASFI.</w:t>
            </w:r>
          </w:p>
        </w:tc>
      </w:tr>
      <w:tr w:rsidR="00EE70B8" w14:paraId="7D5EAB44" w14:textId="77777777">
        <w:trPr/>
        <w:tc>
          <w:tcPr>
            <w:tcW w:w="3131" w:type="dxa"/>
            <w:gridSpan w:val="5"/>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C95C8DF"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14:paraId="4947F82A"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1.2 Aplica el Manual de Cuentas y las normas de valuación de la ASFI (grupos, cuentas y subcuentas) y expone en los estados financieros los diferentes rubros en un caso práctico.</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14:paraId="6908457D"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Exposición en los estados financieros de los diferentes rubros expuestos en los manuales de la ASFI.</w:t>
            </w:r>
          </w:p>
        </w:tc>
      </w:tr>
      <w:tr w:rsidR="00EE70B8" w14:paraId="21DC9090" w14:textId="77777777">
        <w:trPr/>
        <w:tc>
          <w:tcPr>
            <w:tcW w:w="3131" w:type="dxa"/>
            <w:gridSpan w:val="5"/>
            <w:vMerge w:val="restart"/>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3DD4E42"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2. Registra las operaciones generales y rutinarias de una entidad financiera (disponibilidades y cámara de compensación), interpretando sus saldos, regularizando faltantes y sobrantes de caja y liquidando cheques y pagos electrónicos, y las expone en los estados financieros.</w:t>
            </w: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14:paraId="4C100BDF"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 xml:space="preserve">2.1 Desarrolla en equipo, en aula, prácticas de disponibilidades y expone sus saldos en los estados financieros.</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14:paraId="1EA4584F"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Práctica de disponibilidades con su respectiva exposición en los estados financieros.</w:t>
            </w:r>
          </w:p>
        </w:tc>
      </w:tr>
      <w:tr w:rsidR="00EE70B8" w14:paraId="0A7C3749" w14:textId="77777777">
        <w:trPr/>
        <w:tc>
          <w:tcPr>
            <w:tcW w:w="3131" w:type="dxa"/>
            <w:gridSpan w:val="5"/>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5A2B131"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14:paraId="6D746636"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2.2 Elabora en equipo la práctica de registros de la cámara de compensación (primera y segunda cámara), cuadros, y expone sus saldos en los estados financieros.</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14:paraId="2582156A"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Práctica de registros de la cámara de compensación con tablas y cuadros, y su exposición en los estados financieros.</w:t>
            </w:r>
          </w:p>
        </w:tc>
      </w:tr>
      <w:tr w:rsidR="00EE70B8" w14:paraId="71116C4B" w14:textId="77777777">
        <w:tc>
          <w:tcPr>
            <w:tcW w:w="9393" w:type="dxa"/>
            <w:gridSpan w:val="16"/>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5A61B2B3" w14:textId="77777777" w:rsidR="00EE70B8" w:rsidRDefault="00C1535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Evidencias de conocimiento</w:t>
            </w:r>
          </w:p>
        </w:tc>
      </w:tr>
      <w:tr w:rsidR="00EE70B8" w14:paraId="115727C6" w14:textId="77777777">
        <w:tc>
          <w:tcPr>
            <w:tcW w:w="2348"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44746F55" w14:textId="77777777" w:rsidR="00EE70B8" w:rsidRDefault="00C15354">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Unidad de aprendizaje</w:t>
            </w:r>
          </w:p>
        </w:tc>
        <w:tc>
          <w:tcPr>
            <w:tcW w:w="4304" w:type="dxa"/>
            <w:gridSpan w:val="8"/>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41DFF3E9"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b/>
                <w:bCs/>
                <w:i/>
                <w:iCs/>
                <w:sz w:val="18"/>
                <w:szCs w:val="18"/>
              </w:rPr>
              <w:t>Contenidos</w:t>
            </w:r>
          </w:p>
          <w:p w14:paraId="479CF7ED"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i/>
                <w:iCs/>
                <w:sz w:val="18"/>
                <w:szCs w:val="18"/>
              </w:rPr>
              <w:t>C: cognitivo · P: procedimental · A: actitudinal · T: manejo de tecnología e IA</w:t>
            </w:r>
          </w:p>
        </w:tc>
        <w:tc>
          <w:tcPr>
            <w:tcW w:w="2741"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6BE02778" w14:textId="77777777" w:rsidR="00EE70B8" w:rsidRDefault="00C15354">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Conocimientos circunstanciales</w:t>
            </w:r>
          </w:p>
        </w:tc>
      </w:tr>
      <w:tr w:rsidR="00EE70B8" w14:paraId="751CEAB2" w14:textId="77777777">
        <w:tc>
          <w:tcPr>
            <w:tcW w:w="2348"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14:paraId="579D9019" w14:textId="77777777" w:rsidR="00EE70B8" w:rsidRDefault="00C15354">
            <w:pPr>
              <w:spacing w:after="8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lastRenderedPageBreak/>
              <w:t>Tema 1: El Sistema Financiero</w:t>
            </w:r>
          </w:p>
          <w:p w14:paraId="52ADFFA0" w14:textId="77777777" w:rsidR="00EE70B8" w:rsidRDefault="00C15354">
            <w:pPr>
              <w:spacing w:after="8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Tema 2: Bancos</w:t>
            </w:r>
          </w:p>
          <w:p w14:paraId="78347038" w14:textId="77777777" w:rsidR="00EE70B8" w:rsidRDefault="00C15354">
            <w:pPr>
              <w:spacing w:after="8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Tema 3: Normas y Políticas Contables para Bancos y Entidades Financieras</w:t>
            </w:r>
          </w:p>
          <w:p w14:paraId="0EC1FF0C" w14:textId="77777777" w:rsidR="00EE70B8" w:rsidRDefault="00C15354">
            <w:pPr>
              <w:spacing w:after="8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Tema 4: Constitución de Bancos y Entidades Financieras</w:t>
            </w:r>
          </w:p>
          <w:p w14:paraId="436215A6" w14:textId="77777777" w:rsidR="00EE70B8" w:rsidRDefault="00C15354">
            <w:pPr>
              <w:spacing w:after="8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Tema 5: Disponibilidades</w:t>
            </w:r>
          </w:p>
          <w:p w14:paraId="24E5542D"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Tema 6: Cámara de Compensación</w:t>
            </w:r>
          </w:p>
        </w:tc>
        <w:tc>
          <w:tcPr>
            <w:tcW w:w="4304" w:type="dxa"/>
            <w:gridSpan w:val="8"/>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14:paraId="0CDB1825" w14:textId="77777777" w:rsidR="00EE70B8" w:rsidRDefault="00C15354">
            <w:pPr>
              <w:spacing w:before="60" w:line="240" w:lineRule="auto"/>
              <w:rPr>
                <w:rFonts w:ascii="Century Gothic" w:hAnsi="Century Gothic" w:cs="Century Gothic" w:eastAsia="Century Gothic"/>
                <w:sz w:val="18"/>
                <w:szCs w:val="18"/>
              </w:rPr>
            </w:pPr>
            <w:r>
              <w:rPr>
                <w:rFonts w:ascii="Century Gothic" w:hAnsi="Century Gothic" w:cs="Century Gothic" w:eastAsia="Century Gothic"/>
                <w:b/>
                <w:bCs/>
                <w:sz w:val="18"/>
                <w:szCs w:val="18"/>
              </w:rPr>
              <w:t>Tema 1:</w:t>
            </w:r>
          </w:p>
          <w:p w14:paraId="4C39F618" w14:textId="77777777" w:rsidR="00EE70B8" w:rsidRDefault="00C15354">
            <w:pPr>
              <w:numPr>
                <w:ilvl w:val="0"/>
                <w:numId w:val="2"/>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 xml:space="preserve">Introducción y concepto del sistema financiero. (C)</w:t>
            </w:r>
          </w:p>
          <w:p w14:paraId="66A2C877" w14:textId="77777777" w:rsidR="00EE70B8" w:rsidRDefault="00C15354">
            <w:pPr>
              <w:numPr>
                <w:ilvl w:val="0"/>
                <w:numId w:val="2"/>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Elementos del sistema financiero. (C)</w:t>
            </w:r>
          </w:p>
          <w:p w14:paraId="0DF15D97" w14:textId="77777777" w:rsidR="00EE70B8" w:rsidRDefault="00C15354">
            <w:pPr>
              <w:numPr>
                <w:ilvl w:val="0"/>
                <w:numId w:val="2"/>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Sistema de intermediación financiera. (C, A)</w:t>
            </w:r>
          </w:p>
          <w:p w14:paraId="7FA033F5" w14:textId="77777777" w:rsidR="00EE70B8" w:rsidRDefault="00C15354">
            <w:pPr>
              <w:spacing w:before="60" w:line="240" w:lineRule="auto"/>
              <w:rPr>
                <w:rFonts w:ascii="Century Gothic" w:hAnsi="Century Gothic" w:cs="Century Gothic" w:eastAsia="Century Gothic"/>
                <w:sz w:val="18"/>
                <w:szCs w:val="18"/>
              </w:rPr>
            </w:pPr>
            <w:r>
              <w:rPr>
                <w:rFonts w:ascii="Century Gothic" w:hAnsi="Century Gothic" w:cs="Century Gothic" w:eastAsia="Century Gothic"/>
                <w:b/>
                <w:bCs/>
                <w:sz w:val="18"/>
                <w:szCs w:val="18"/>
              </w:rPr>
              <w:t>Tema 2:</w:t>
            </w:r>
          </w:p>
          <w:p w14:paraId="3FF6307F" w14:textId="77777777" w:rsidR="00EE70B8" w:rsidRDefault="00C15354">
            <w:pPr>
              <w:numPr>
                <w:ilvl w:val="0"/>
                <w:numId w:val="2"/>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Introducción al concepto de banco y clasificación de la banca. (C)</w:t>
            </w:r>
          </w:p>
          <w:p w14:paraId="62AF4097" w14:textId="77777777" w:rsidR="00EE70B8" w:rsidRDefault="00C15354">
            <w:pPr>
              <w:numPr>
                <w:ilvl w:val="0"/>
                <w:numId w:val="2"/>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 xml:space="preserve">Clasificación de las entidades. (C)</w:t>
            </w:r>
          </w:p>
          <w:p w14:paraId="784DD37E" w14:textId="77777777" w:rsidR="00EE70B8" w:rsidRDefault="00C15354">
            <w:pPr>
              <w:numPr>
                <w:ilvl w:val="0"/>
                <w:numId w:val="2"/>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Operaciones de un banco, operaciones financieras y organización de las entidades financieras. (C)</w:t>
            </w:r>
          </w:p>
          <w:p w14:paraId="5CB78587" w14:textId="77777777" w:rsidR="00EE70B8" w:rsidRDefault="00C15354">
            <w:pPr>
              <w:spacing w:before="60" w:line="240" w:lineRule="auto"/>
              <w:rPr>
                <w:rFonts w:ascii="Century Gothic" w:hAnsi="Century Gothic" w:cs="Century Gothic" w:eastAsia="Century Gothic"/>
                <w:sz w:val="18"/>
                <w:szCs w:val="18"/>
              </w:rPr>
            </w:pPr>
            <w:r>
              <w:rPr>
                <w:rFonts w:ascii="Century Gothic" w:hAnsi="Century Gothic" w:cs="Century Gothic" w:eastAsia="Century Gothic"/>
                <w:b/>
                <w:bCs/>
                <w:sz w:val="18"/>
                <w:szCs w:val="18"/>
              </w:rPr>
              <w:t>Tema 3:</w:t>
            </w:r>
          </w:p>
          <w:p w14:paraId="078A7685" w14:textId="77777777" w:rsidR="00EE70B8" w:rsidRDefault="00C15354">
            <w:pPr>
              <w:numPr>
                <w:ilvl w:val="0"/>
                <w:numId w:val="2"/>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Definición de la contabilidad de bancos; documentación contable y manual de cuentas. (C, P)</w:t>
            </w:r>
          </w:p>
          <w:p w14:paraId="65F18410" w14:textId="77777777" w:rsidR="00EE70B8" w:rsidRDefault="00C15354">
            <w:pPr>
              <w:numPr>
                <w:ilvl w:val="0"/>
                <w:numId w:val="2"/>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Cierre de gestión, presentación de estados financieros, auditoría externa, publicación en prensa y memoria anual. (C)</w:t>
            </w:r>
          </w:p>
          <w:p w14:paraId="7D64390B" w14:textId="77777777" w:rsidR="00EE70B8" w:rsidRDefault="00C15354">
            <w:pPr>
              <w:numPr>
                <w:ilvl w:val="0"/>
                <w:numId w:val="2"/>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Transparencia de la información y atención al consumidor financiero en el marco de la función social de los servicios financieros. (C, A)</w:t>
            </w:r>
          </w:p>
          <w:p w14:paraId="08ED5608" w14:textId="77777777" w:rsidR="00EE70B8" w:rsidRDefault="00C15354">
            <w:pPr>
              <w:numPr>
                <w:ilvl w:val="0"/>
                <w:numId w:val="2"/>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Normas contables; valuación de activos y pasivos en moneda extranjera y valuación de activos en moneda nacional. (C)</w:t>
            </w:r>
          </w:p>
          <w:p w14:paraId="140A2E47" w14:textId="77777777" w:rsidR="00EE70B8" w:rsidRDefault="00C15354">
            <w:pPr>
              <w:numPr>
                <w:ilvl w:val="0"/>
                <w:numId w:val="2"/>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Cálculo y exposición de productos por cobrar y cargos por pagar; asignación de costos. (P)</w:t>
            </w:r>
          </w:p>
          <w:p w14:paraId="659E0433" w14:textId="77777777" w:rsidR="00EE70B8" w:rsidRDefault="00C15354">
            <w:pPr>
              <w:numPr>
                <w:ilvl w:val="0"/>
                <w:numId w:val="2"/>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Consolidación de oficina central y sucursales; partidas pendientes de imputación. (C)</w:t>
            </w:r>
          </w:p>
          <w:p w14:paraId="7A141162" w14:textId="77777777" w:rsidR="00EE70B8" w:rsidRDefault="00C15354">
            <w:pPr>
              <w:spacing w:before="60" w:line="240" w:lineRule="auto"/>
              <w:rPr>
                <w:rFonts w:ascii="Century Gothic" w:hAnsi="Century Gothic" w:cs="Century Gothic" w:eastAsia="Century Gothic"/>
                <w:sz w:val="18"/>
                <w:szCs w:val="18"/>
              </w:rPr>
            </w:pPr>
            <w:r>
              <w:rPr>
                <w:rFonts w:ascii="Century Gothic" w:hAnsi="Century Gothic" w:cs="Century Gothic" w:eastAsia="Century Gothic"/>
                <w:b/>
                <w:bCs/>
                <w:sz w:val="18"/>
                <w:szCs w:val="18"/>
              </w:rPr>
              <w:t>Tema 4:</w:t>
            </w:r>
          </w:p>
          <w:p w14:paraId="6EEBDC47" w14:textId="77777777" w:rsidR="00EE70B8" w:rsidRDefault="00C15354">
            <w:pPr>
              <w:numPr>
                <w:ilvl w:val="0"/>
                <w:numId w:val="2"/>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Marco legal para la constitución y el funcionamiento de bancos y entidades financieras; requisitos de constitución y licencia de funcionamiento. (C)</w:t>
            </w:r>
          </w:p>
          <w:p w14:paraId="696E7D69" w14:textId="77777777" w:rsidR="00EE70B8" w:rsidRDefault="00C15354">
            <w:pPr>
              <w:numPr>
                <w:ilvl w:val="0"/>
                <w:numId w:val="2"/>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Capital mínimo de Bancos y Entidades Financieras; casos prácticos. (C)</w:t>
            </w:r>
          </w:p>
          <w:p w14:paraId="4ECE1B75" w14:textId="77777777" w:rsidR="00EE70B8" w:rsidRDefault="00C15354">
            <w:pPr>
              <w:numPr>
                <w:ilvl w:val="0"/>
                <w:numId w:val="2"/>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 xml:space="preserve">Terminología financiera en inglés: </w:t>
            </w:r>
            <w:proofErr w:type="spellStart"/>
            <w:r>
              <w:rPr>
                <w:rFonts w:ascii="Century Gothic" w:hAnsi="Century Gothic" w:cs="Century Gothic" w:eastAsia="Century Gothic"/>
                <w:sz w:val="18"/>
                <w:szCs w:val="18"/>
              </w:rPr>
              <w:t>banking</w:t>
            </w:r>
            <w:proofErr w:type="spellEnd"/>
            <w:r>
              <w:rPr>
                <w:rFonts w:ascii="Century Gothic" w:hAnsi="Century Gothic" w:cs="Century Gothic" w:eastAsia="Century Gothic"/>
                <w:sz w:val="18"/>
                <w:szCs w:val="18"/>
              </w:rPr>
              <w:t xml:space="preserve">, </w:t>
            </w:r>
            <w:proofErr w:type="spellStart"/>
            <w:r>
              <w:rPr>
                <w:rFonts w:ascii="Century Gothic" w:hAnsi="Century Gothic" w:cs="Century Gothic" w:eastAsia="Century Gothic"/>
                <w:sz w:val="18"/>
                <w:szCs w:val="18"/>
              </w:rPr>
              <w:t>deposits</w:t>
            </w:r>
            <w:proofErr w:type="spellEnd"/>
            <w:r>
              <w:rPr>
                <w:rFonts w:ascii="Century Gothic" w:hAnsi="Century Gothic" w:cs="Century Gothic" w:eastAsia="Century Gothic"/>
                <w:sz w:val="18"/>
                <w:szCs w:val="18"/>
              </w:rPr>
              <w:t xml:space="preserve">, loan portfolio, </w:t>
            </w:r>
            <w:proofErr w:type="spellStart"/>
            <w:r>
              <w:rPr>
                <w:rFonts w:ascii="Century Gothic" w:hAnsi="Century Gothic" w:cs="Century Gothic" w:eastAsia="Century Gothic"/>
                <w:sz w:val="18"/>
                <w:szCs w:val="18"/>
              </w:rPr>
              <w:t>provisions</w:t>
            </w:r>
            <w:proofErr w:type="spellEnd"/>
            <w:r>
              <w:rPr>
                <w:rFonts w:ascii="Century Gothic" w:hAnsi="Century Gothic" w:cs="Century Gothic" w:eastAsia="Century Gothic"/>
                <w:sz w:val="18"/>
                <w:szCs w:val="18"/>
              </w:rPr>
              <w:t xml:space="preserve">, </w:t>
            </w:r>
            <w:proofErr w:type="spellStart"/>
            <w:r>
              <w:rPr>
                <w:rFonts w:ascii="Century Gothic" w:hAnsi="Century Gothic" w:cs="Century Gothic" w:eastAsia="Century Gothic"/>
                <w:sz w:val="18"/>
                <w:szCs w:val="18"/>
              </w:rPr>
              <w:t>liquidity</w:t>
            </w:r>
            <w:proofErr w:type="spellEnd"/>
            <w:r>
              <w:rPr>
                <w:rFonts w:ascii="Century Gothic" w:hAnsi="Century Gothic" w:cs="Century Gothic" w:eastAsia="Century Gothic"/>
                <w:sz w:val="18"/>
                <w:szCs w:val="18"/>
              </w:rPr>
              <w:t xml:space="preserve"> y capital </w:t>
            </w:r>
            <w:proofErr w:type="spellStart"/>
            <w:r>
              <w:rPr>
                <w:rFonts w:ascii="Century Gothic" w:hAnsi="Century Gothic" w:cs="Century Gothic" w:eastAsia="Century Gothic"/>
                <w:sz w:val="18"/>
                <w:szCs w:val="18"/>
              </w:rPr>
              <w:t>adequacy</w:t>
            </w:r>
            <w:proofErr w:type="spellEnd"/>
            <w:r>
              <w:rPr>
                <w:rFonts w:ascii="Century Gothic" w:hAnsi="Century Gothic" w:cs="Century Gothic" w:eastAsia="Century Gothic"/>
                <w:sz w:val="18"/>
                <w:szCs w:val="18"/>
              </w:rPr>
              <w:t>. (C)</w:t>
            </w:r>
          </w:p>
          <w:p w14:paraId="54002A13" w14:textId="77777777" w:rsidR="00EE70B8" w:rsidRDefault="00C15354">
            <w:pPr>
              <w:spacing w:before="60" w:line="240" w:lineRule="auto"/>
              <w:rPr>
                <w:rFonts w:ascii="Century Gothic" w:hAnsi="Century Gothic" w:cs="Century Gothic" w:eastAsia="Century Gothic"/>
                <w:sz w:val="18"/>
                <w:szCs w:val="18"/>
              </w:rPr>
            </w:pPr>
            <w:r>
              <w:rPr>
                <w:rFonts w:ascii="Century Gothic" w:hAnsi="Century Gothic" w:cs="Century Gothic" w:eastAsia="Century Gothic"/>
                <w:b/>
                <w:bCs/>
                <w:sz w:val="18"/>
                <w:szCs w:val="18"/>
              </w:rPr>
              <w:t>Tema 5:</w:t>
            </w:r>
          </w:p>
          <w:p w14:paraId="255AFB30" w14:textId="77777777" w:rsidR="00EE70B8" w:rsidRDefault="00C15354">
            <w:pPr>
              <w:numPr>
                <w:ilvl w:val="0"/>
                <w:numId w:val="2"/>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Concepto de las disponibilidades; casos de débito y casos de crédito. (C)</w:t>
            </w:r>
          </w:p>
          <w:p w14:paraId="2E632393" w14:textId="77777777" w:rsidR="00EE70B8" w:rsidRDefault="00C15354">
            <w:pPr>
              <w:numPr>
                <w:ilvl w:val="0"/>
                <w:numId w:val="2"/>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Interpretación del saldo de las disponibilidades y papeletas contables. (C)</w:t>
            </w:r>
          </w:p>
          <w:p w14:paraId="2C588EA7" w14:textId="77777777" w:rsidR="00EE70B8" w:rsidRDefault="00C15354">
            <w:pPr>
              <w:numPr>
                <w:ilvl w:val="0"/>
                <w:numId w:val="2"/>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Faltantes y sobrantes de caja; procedimientos de regularización; casos prácticos. (P)</w:t>
            </w:r>
          </w:p>
          <w:p w14:paraId="5C6564BF" w14:textId="77777777" w:rsidR="00EE70B8" w:rsidRDefault="00C15354">
            <w:pPr>
              <w:numPr>
                <w:ilvl w:val="0"/>
                <w:numId w:val="2"/>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Control interno del efectivo: arqueos sorpresivos, segregación de funciones y límites de bóveda. (C)</w:t>
            </w:r>
          </w:p>
          <w:p w14:paraId="38D6E98D" w14:textId="77777777" w:rsidR="00EE70B8" w:rsidRDefault="00C15354">
            <w:pPr>
              <w:spacing w:before="60" w:line="240" w:lineRule="auto"/>
              <w:rPr>
                <w:rFonts w:ascii="Century Gothic" w:hAnsi="Century Gothic" w:cs="Century Gothic" w:eastAsia="Century Gothic"/>
                <w:sz w:val="18"/>
                <w:szCs w:val="18"/>
              </w:rPr>
            </w:pPr>
            <w:r>
              <w:rPr>
                <w:rFonts w:ascii="Century Gothic" w:hAnsi="Century Gothic" w:cs="Century Gothic" w:eastAsia="Century Gothic"/>
                <w:b/>
                <w:bCs/>
                <w:sz w:val="18"/>
                <w:szCs w:val="18"/>
              </w:rPr>
              <w:t>Tema 6:</w:t>
            </w:r>
          </w:p>
          <w:p w14:paraId="27CA8ADC" w14:textId="77777777" w:rsidR="00EE70B8" w:rsidRDefault="00C15354">
            <w:pPr>
              <w:numPr>
                <w:ilvl w:val="0"/>
                <w:numId w:val="2"/>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Definición y características de la cámara de compensación; su automatización. (C, T)</w:t>
            </w:r>
          </w:p>
          <w:p w14:paraId="203DDC16" w14:textId="77777777" w:rsidR="00EE70B8" w:rsidRDefault="00C15354">
            <w:pPr>
              <w:numPr>
                <w:ilvl w:val="0"/>
                <w:numId w:val="2"/>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lastRenderedPageBreak/>
              <w:t>Importancia del encaje legal en la cámara de compensación y función de la Asociación de Bancos Privados de Bolivia (ASOBAN). (C)</w:t>
            </w:r>
          </w:p>
          <w:p w14:paraId="0030FA62" w14:textId="77777777" w:rsidR="00EE70B8" w:rsidRDefault="00C15354">
            <w:pPr>
              <w:numPr>
                <w:ilvl w:val="0"/>
                <w:numId w:val="2"/>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Especificaciones, requisitos y material para el diseño de cheques; legibilidad de la información. (P)</w:t>
            </w:r>
          </w:p>
          <w:p w14:paraId="72023287" w14:textId="77777777" w:rsidR="00EE70B8" w:rsidRDefault="00C15354">
            <w:pPr>
              <w:numPr>
                <w:ilvl w:val="0"/>
                <w:numId w:val="2"/>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Lectura electrónica de cheques y planilla de la cámara de compensación; casos prácticos. (C, T)</w:t>
            </w:r>
          </w:p>
          <w:p w14:paraId="59595656" w14:textId="77777777" w:rsidR="00EE70B8" w:rsidRDefault="00C15354">
            <w:pPr>
              <w:numPr>
                <w:ilvl w:val="0"/>
                <w:numId w:val="2"/>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Sistemas de pago de alto y de bajo valor: cámara de compensación, liquidación en el Banco Central de Bolivia y pagos electrónicos inmediatos. (C, T)</w:t>
            </w:r>
          </w:p>
          <w:p w14:paraId="5351FBAE" w14:textId="77777777" w:rsidR="00EE70B8" w:rsidRDefault="00C15354">
            <w:pPr>
              <w:numPr>
                <w:ilvl w:val="0"/>
                <w:numId w:val="2"/>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Prevención de la legitimación de ganancias ilícitas en el manejo del efectivo: debida diligencia del cliente, registro de operaciones y reporte de operaciones sospechosas. (P)</w:t>
            </w:r>
          </w:p>
        </w:tc>
        <w:tc>
          <w:tcPr>
            <w:tcW w:w="2741"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14:paraId="0B312545" w14:textId="77777777" w:rsidR="00EE70B8" w:rsidRDefault="00C15354">
            <w:pPr>
              <w:numPr>
                <w:ilvl w:val="0"/>
                <w:numId w:val="3"/>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lastRenderedPageBreak/>
              <w:t>Nociones de la historia de la banca y del sistema financiero boliviano.</w:t>
            </w:r>
          </w:p>
          <w:p w14:paraId="776F807C" w14:textId="77777777" w:rsidR="00EE70B8" w:rsidRDefault="00C15354">
            <w:pPr>
              <w:numPr>
                <w:ilvl w:val="0"/>
                <w:numId w:val="3"/>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Nociones de la organización de una agencia y de una sucursal bancaria.</w:t>
            </w:r>
          </w:p>
          <w:p w14:paraId="0BA10CA3" w14:textId="77777777" w:rsidR="00EE70B8" w:rsidRDefault="00C15354">
            <w:pPr>
              <w:numPr>
                <w:ilvl w:val="0"/>
                <w:numId w:val="3"/>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Nociones de identificación de billetes falsificados y de las medidas de seguridad del billete boliviano.</w:t>
            </w:r>
          </w:p>
          <w:p w14:paraId="3C6E78CB" w14:textId="77777777" w:rsidR="00EE70B8" w:rsidRDefault="00C15354">
            <w:pPr>
              <w:numPr>
                <w:ilvl w:val="0"/>
                <w:numId w:val="6"/>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Nociones de seguridad física y custodia del efectivo en bóveda.</w:t>
            </w:r>
          </w:p>
        </w:tc>
      </w:tr>
      <w:tr w:rsidR="00EE70B8" w14:paraId="3C22A897" w14:textId="77777777">
        <w:trPr/>
        <w:tc>
          <w:tcPr>
            <w:tcW w:w="9393" w:type="dxa"/>
            <w:gridSpan w:val="16"/>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1649E88" w14:textId="77777777" w:rsidR="00EE70B8" w:rsidRDefault="00C15354">
            <w:pPr>
              <w:spacing w:before="20" w:after="20" w:line="240" w:lineRule="auto"/>
              <w:rPr>
                <w:rFonts w:ascii="Century Gothic" w:hAnsi="Century Gothic" w:cs="Century Gothic" w:eastAsia="Century Gothic"/>
                <w:sz w:val="18"/>
                <w:szCs w:val="18"/>
              </w:rPr>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Aplica el tratamiento contable de los depósitos en cuentas corrientes, en cajas de ahorro y a plazo fijo, y calcula el encaje legal correspondiente.</w:t>
            </w:r>
          </w:p>
        </w:tc>
      </w:tr>
      <w:tr w:rsidR="00EE70B8" w14:paraId="63B90E7E" w14:textId="77777777">
        <w:tc>
          <w:tcPr>
            <w:tcW w:w="3131" w:type="dxa"/>
            <w:gridSpan w:val="5"/>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18AA72F6" w14:textId="77777777" w:rsidR="00EE70B8" w:rsidRDefault="00C1535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Criterios de desempeño</w:t>
            </w: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5E09137E" w14:textId="77777777" w:rsidR="00EE70B8" w:rsidRDefault="00C1535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Evidencias de desempeño</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1D3DB798" w14:textId="77777777" w:rsidR="00EE70B8" w:rsidRDefault="00C1535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Evidencias de producto</w:t>
            </w:r>
          </w:p>
        </w:tc>
      </w:tr>
      <w:tr w:rsidR="00EE70B8" w14:paraId="4665FA28" w14:textId="77777777">
        <w:trPr/>
        <w:tc>
          <w:tcPr>
            <w:tcW w:w="3131" w:type="dxa"/>
            <w:gridSpan w:val="5"/>
            <w:vMerge w:val="restart"/>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4D6DF487"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 xml:space="preserve">1. Registra el movimiento contable de los depósitos en cuentas corrientes y en caja de ahorros, calculando sus intereses conforme a la normativa vigente.</w:t>
            </w: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E4AC972"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1.1 Registra la apertura, el movimiento, la clausura y el cierre de una cuenta corriente</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61ECB31"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Movimiento contable de los depósitos en cuenta corriente en un caso práctico y su exposición en los Estados Financieros.</w:t>
            </w:r>
          </w:p>
        </w:tc>
      </w:tr>
      <w:tr w:rsidR="00EE70B8" w14:paraId="2DAA9874" w14:textId="77777777">
        <w:trPr/>
        <w:tc>
          <w:tcPr>
            <w:tcW w:w="3131" w:type="dxa"/>
            <w:gridSpan w:val="5"/>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13AA4D3"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1D219C1"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1.2 Registra la apertura, el movimiento, cálculo de intereses y la clausura de una caja de ahorro.</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432D88F"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Movimiento contable de los depósitos en caja de ahorro en un caso práctico y su exposición en los Estados Financieros.</w:t>
            </w:r>
          </w:p>
        </w:tc>
      </w:tr>
      <w:tr w:rsidR="00EE70B8" w14:paraId="524B7BE3" w14:textId="77777777">
        <w:trPr/>
        <w:tc>
          <w:tcPr>
            <w:tcW w:w="3131" w:type="dxa"/>
            <w:gridSpan w:val="5"/>
            <w:vMerge w:val="restart"/>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4A75DF4"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 xml:space="preserve">2. Registra el movimiento de los depósitos a plazo fijo en moneda nacional y extranjera y determina el encaje legal correspondiente de acuerdo con la normativa </w:t>
            </w: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3CC1BE1"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 xml:space="preserve">2.1 Registra la apertura, el movimiento, cálculo de intereses y el cierre de un depósito a plazo fijo. </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8565017"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Movimiento contable de los depósitos a plazo fijo en un caso práctico y su exposición en los Estados Financieros.</w:t>
            </w:r>
          </w:p>
        </w:tc>
      </w:tr>
      <w:tr w:rsidR="00EE70B8" w14:paraId="64F68E9A" w14:textId="77777777">
        <w:trPr/>
        <w:tc>
          <w:tcPr>
            <w:tcW w:w="3131" w:type="dxa"/>
            <w:gridSpan w:val="5"/>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4DCA522"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FB7D1E3"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2.2 Calcula el encaje legal en efectivo y en títulos determinando el excedente o deficiencia de encaje y la multa correspondiente de un caso práctico.</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9FB9E59"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Cálculo del encaje legal y del Fondo RAL de un caso práctico.</w:t>
            </w:r>
          </w:p>
        </w:tc>
      </w:tr>
      <w:tr w:rsidR="00EE70B8" w14:paraId="0D5B2A78" w14:textId="77777777">
        <w:tc>
          <w:tcPr>
            <w:tcW w:w="9393" w:type="dxa"/>
            <w:gridSpan w:val="16"/>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61C994B7" w14:textId="77777777" w:rsidR="00EE70B8" w:rsidRDefault="00C1535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Evidencias de conocimiento</w:t>
            </w:r>
          </w:p>
        </w:tc>
      </w:tr>
      <w:tr w:rsidR="00EE70B8" w14:paraId="1BDFAD91" w14:textId="77777777">
        <w:tc>
          <w:tcPr>
            <w:tcW w:w="2348"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7D78E5FA" w14:textId="77777777" w:rsidR="00EE70B8" w:rsidRDefault="00C15354">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Unidad de aprendizaje</w:t>
            </w:r>
          </w:p>
        </w:tc>
        <w:tc>
          <w:tcPr>
            <w:tcW w:w="4304" w:type="dxa"/>
            <w:gridSpan w:val="8"/>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21BA45A"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b/>
                <w:bCs/>
                <w:i/>
                <w:iCs/>
                <w:sz w:val="18"/>
                <w:szCs w:val="18"/>
              </w:rPr>
              <w:t>Contenidos</w:t>
            </w:r>
          </w:p>
          <w:p w14:paraId="197CE657"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i/>
                <w:iCs/>
                <w:sz w:val="18"/>
                <w:szCs w:val="18"/>
              </w:rPr>
              <w:t>C: cognitivo · P: procedimental · A: actitudinal · T: manejo de tecnología e IA</w:t>
            </w:r>
          </w:p>
        </w:tc>
        <w:tc>
          <w:tcPr>
            <w:tcW w:w="2741"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679D62AE" w14:textId="77777777" w:rsidR="00EE70B8" w:rsidRDefault="00C15354">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Conocimientos circunstanciales</w:t>
            </w:r>
          </w:p>
        </w:tc>
      </w:tr>
      <w:tr w:rsidR="00EE70B8" w14:paraId="5E5BFA62" w14:textId="77777777">
        <w:tc>
          <w:tcPr>
            <w:tcW w:w="2348"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F124CEB"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Tema 7: Depósitos en Cuentas Corrientes</w:t>
            </w:r>
          </w:p>
          <w:p w14:paraId="2C1DCAE2"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Tema 8: Depósitos en Caja de Ahorros</w:t>
            </w:r>
          </w:p>
          <w:p w14:paraId="0DFD0F27"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Tema 9: Depósitos a Plazo Fijo</w:t>
            </w:r>
          </w:p>
          <w:p w14:paraId="403B16D9"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Tema 10: Encaje Legal</w:t>
            </w:r>
          </w:p>
        </w:tc>
        <w:tc>
          <w:tcPr>
            <w:tcW w:w="4304" w:type="dxa"/>
            <w:gridSpan w:val="8"/>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5E847D8" w14:textId="77777777" w:rsidR="00EE70B8" w:rsidRDefault="00C15354">
            <w:pPr>
              <w:pBdr>
                <w:top w:val="nil"/>
                <w:left w:val="nil"/>
                <w:bottom w:val="nil"/>
                <w:right w:val="nil"/>
                <w:between w:val="nil"/>
              </w:pBdr>
              <w:spacing w:before="10" w:after="10" w:line="240" w:lineRule="auto"/>
              <w:ind w:left="400"/>
              <w:jc w:val="left"/>
              <w:rPr>
                <w:rFonts w:ascii="Century Gothic" w:hAnsi="Century Gothic" w:cs="Century Gothic" w:eastAsia="Century Gothic"/>
                <w:b/>
                <w:bCs/>
                <w:sz w:val="18"/>
                <w:szCs w:val="18"/>
              </w:rPr>
            </w:pPr>
            <w:r>
              <w:rPr>
                <w:rFonts w:ascii="Century Gothic" w:hAnsi="Century Gothic" w:cs="Century Gothic" w:eastAsia="Century Gothic"/>
                <w:b/>
                <w:bCs/>
                <w:sz w:val="18"/>
                <w:szCs w:val="18"/>
              </w:rPr>
              <w:t>Tema 7:</w:t>
            </w:r>
          </w:p>
          <w:p w14:paraId="2B18E81C" w14:textId="77777777" w:rsidR="00EE70B8" w:rsidRDefault="00C15354">
            <w:pPr>
              <w:numPr>
                <w:ilvl w:val="0"/>
                <w:numId w:val="7"/>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Concepto y clasificación de los depósitos en cuentas corrientes; reglamento de cuentas corrientes. (C)</w:t>
            </w:r>
          </w:p>
          <w:p w14:paraId="758D4E50" w14:textId="77777777" w:rsidR="00EE70B8" w:rsidRDefault="00C15354">
            <w:pPr>
              <w:numPr>
                <w:ilvl w:val="0"/>
                <w:numId w:val="7"/>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Apertura y funcionamiento de las cuentas corrientes. (C)</w:t>
            </w:r>
          </w:p>
          <w:p w14:paraId="49025297" w14:textId="77777777" w:rsidR="00EE70B8" w:rsidRDefault="00C15354">
            <w:pPr>
              <w:numPr>
                <w:ilvl w:val="0"/>
                <w:numId w:val="7"/>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Clausura y rehabilitación de las cuentas corrientes; periodos de suspensión. (C)</w:t>
            </w:r>
          </w:p>
          <w:p w14:paraId="79274AB0" w14:textId="77777777" w:rsidR="00EE70B8" w:rsidRDefault="00C15354">
            <w:pPr>
              <w:numPr>
                <w:ilvl w:val="0"/>
                <w:numId w:val="7"/>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Errores atribuibles a la entidad bancaria en el manejo de las cuentas corrientes; casos prácticos. (C)</w:t>
            </w:r>
          </w:p>
          <w:p w14:paraId="736927FD" w14:textId="77777777" w:rsidR="00EE70B8" w:rsidRDefault="00C15354">
            <w:pPr>
              <w:pBdr>
                <w:top w:val="nil"/>
                <w:left w:val="nil"/>
                <w:bottom w:val="nil"/>
                <w:right w:val="nil"/>
                <w:between w:val="nil"/>
              </w:pBdr>
              <w:spacing w:before="10" w:after="10" w:line="240" w:lineRule="auto"/>
              <w:ind w:left="400"/>
              <w:jc w:val="left"/>
              <w:rPr>
                <w:rFonts w:ascii="Century Gothic" w:hAnsi="Century Gothic" w:cs="Century Gothic" w:eastAsia="Century Gothic"/>
                <w:b/>
                <w:bCs/>
                <w:sz w:val="18"/>
                <w:szCs w:val="18"/>
              </w:rPr>
            </w:pPr>
            <w:r>
              <w:rPr>
                <w:rFonts w:ascii="Century Gothic" w:hAnsi="Century Gothic" w:cs="Century Gothic" w:eastAsia="Century Gothic"/>
                <w:b/>
                <w:bCs/>
                <w:sz w:val="18"/>
                <w:szCs w:val="18"/>
              </w:rPr>
              <w:t>Tema 8:</w:t>
            </w:r>
          </w:p>
          <w:p w14:paraId="242FFE09" w14:textId="77777777" w:rsidR="00EE70B8" w:rsidRDefault="00C15354">
            <w:pPr>
              <w:numPr>
                <w:ilvl w:val="0"/>
                <w:numId w:val="7"/>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Concepto, libretas y clasificación de los depósitos en caja de ahorros. (C)</w:t>
            </w:r>
          </w:p>
          <w:p w14:paraId="6031731D" w14:textId="77777777" w:rsidR="00EE70B8" w:rsidRDefault="00C15354">
            <w:pPr>
              <w:numPr>
                <w:ilvl w:val="0"/>
                <w:numId w:val="7"/>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Apertura de depósitos en caja de ahorros; intereses y cálculo de intereses en cajas de ahorro. (P)</w:t>
            </w:r>
          </w:p>
          <w:p w14:paraId="641A0330" w14:textId="77777777" w:rsidR="00EE70B8" w:rsidRDefault="00C15354">
            <w:pPr>
              <w:numPr>
                <w:ilvl w:val="0"/>
                <w:numId w:val="7"/>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Movimiento contable de los depósitos en caja de ahorros; casos prácticos. (C)</w:t>
            </w:r>
          </w:p>
          <w:p w14:paraId="54F9389B" w14:textId="77777777" w:rsidR="00EE70B8" w:rsidRDefault="00C15354">
            <w:pPr>
              <w:pBdr>
                <w:top w:val="nil"/>
                <w:left w:val="nil"/>
                <w:bottom w:val="nil"/>
                <w:right w:val="nil"/>
                <w:between w:val="nil"/>
              </w:pBdr>
              <w:spacing w:before="10" w:after="10" w:line="240" w:lineRule="auto"/>
              <w:ind w:left="400"/>
              <w:jc w:val="left"/>
              <w:rPr>
                <w:rFonts w:ascii="Century Gothic" w:hAnsi="Century Gothic" w:cs="Century Gothic" w:eastAsia="Century Gothic"/>
                <w:b/>
                <w:bCs/>
                <w:sz w:val="18"/>
                <w:szCs w:val="18"/>
              </w:rPr>
            </w:pPr>
            <w:r>
              <w:rPr>
                <w:rFonts w:ascii="Century Gothic" w:hAnsi="Century Gothic" w:cs="Century Gothic" w:eastAsia="Century Gothic"/>
                <w:b/>
                <w:bCs/>
                <w:sz w:val="18"/>
                <w:szCs w:val="18"/>
              </w:rPr>
              <w:t>Tema 9:</w:t>
            </w:r>
          </w:p>
          <w:p w14:paraId="77FD68EC" w14:textId="77777777" w:rsidR="00EE70B8" w:rsidRDefault="00C15354">
            <w:pPr>
              <w:numPr>
                <w:ilvl w:val="0"/>
                <w:numId w:val="7"/>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Concepto y constitución de los depósitos a plazo fijo; emisión del certificado de depósito a plazo fijo. (C)</w:t>
            </w:r>
          </w:p>
          <w:p w14:paraId="4FAF2509" w14:textId="77777777" w:rsidR="00EE70B8" w:rsidRDefault="00C15354">
            <w:pPr>
              <w:numPr>
                <w:ilvl w:val="0"/>
                <w:numId w:val="7"/>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Normativa de funcionamiento e intereses en los depósitos a plazo fijo; movimiento contable; casos prácticos. (C)</w:t>
            </w:r>
          </w:p>
          <w:p w14:paraId="0D2CBB7D" w14:textId="77777777" w:rsidR="00EE70B8" w:rsidRDefault="00C15354">
            <w:pPr>
              <w:pBdr>
                <w:top w:val="nil"/>
                <w:left w:val="nil"/>
                <w:bottom w:val="nil"/>
                <w:right w:val="nil"/>
                <w:between w:val="nil"/>
              </w:pBdr>
              <w:spacing w:before="10" w:after="10" w:line="240" w:lineRule="auto"/>
              <w:ind w:left="400"/>
              <w:jc w:val="left"/>
              <w:rPr>
                <w:rFonts w:ascii="Century Gothic" w:hAnsi="Century Gothic" w:cs="Century Gothic" w:eastAsia="Century Gothic"/>
                <w:b/>
                <w:bCs/>
                <w:sz w:val="18"/>
                <w:szCs w:val="18"/>
              </w:rPr>
            </w:pPr>
            <w:r>
              <w:rPr>
                <w:rFonts w:ascii="Century Gothic" w:hAnsi="Century Gothic" w:cs="Century Gothic" w:eastAsia="Century Gothic"/>
                <w:b/>
                <w:bCs/>
                <w:sz w:val="18"/>
                <w:szCs w:val="18"/>
              </w:rPr>
              <w:t>Tema 10:</w:t>
            </w:r>
          </w:p>
          <w:p w14:paraId="08216F7F" w14:textId="77777777" w:rsidR="00EE70B8" w:rsidRDefault="00C15354">
            <w:pPr>
              <w:numPr>
                <w:ilvl w:val="0"/>
                <w:numId w:val="7"/>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Concepto, objetivos y definiciones del encaje legal; el encaje legal y el Fondo de Requerimiento de Activos Líquidos (RAL). (C)</w:t>
            </w:r>
          </w:p>
          <w:p w14:paraId="05BF20C0" w14:textId="77777777" w:rsidR="00EE70B8" w:rsidRDefault="00C15354">
            <w:pPr>
              <w:numPr>
                <w:ilvl w:val="0"/>
                <w:numId w:val="7"/>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Tasas de encaje legal; pasivos sujetos y pasivos no sujetos al encaje legal; exenciones. (C)</w:t>
            </w:r>
          </w:p>
          <w:p w14:paraId="10580F6A" w14:textId="77777777" w:rsidR="00EE70B8" w:rsidRDefault="00C15354">
            <w:pPr>
              <w:numPr>
                <w:ilvl w:val="0"/>
                <w:numId w:val="7"/>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Modificaciones de las tasas de encaje legal y su efecto sobre la liquidez del sistema financiero y sobre el crédito. (C)</w:t>
            </w:r>
          </w:p>
          <w:p w14:paraId="1D5408B0" w14:textId="77777777" w:rsidR="00EE70B8" w:rsidRDefault="00C15354">
            <w:pPr>
              <w:numPr>
                <w:ilvl w:val="0"/>
                <w:numId w:val="7"/>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Cómputo del encaje legal constituido en efectivo y del encaje legal en títulos. (C)</w:t>
            </w:r>
          </w:p>
          <w:p w14:paraId="3BDDFDBD" w14:textId="77777777" w:rsidR="00EE70B8" w:rsidRDefault="00C15354">
            <w:pPr>
              <w:numPr>
                <w:ilvl w:val="0"/>
                <w:numId w:val="7"/>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Concepto, constitución y administración del Fondo RAL; crédito de liquidez. (C)</w:t>
            </w:r>
          </w:p>
          <w:p w14:paraId="4E5BFF2C" w14:textId="77777777" w:rsidR="00EE70B8" w:rsidRDefault="00C15354">
            <w:pPr>
              <w:numPr>
                <w:ilvl w:val="0"/>
                <w:numId w:val="7"/>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No participación en el Fondo RAL y disolución del Fondo RAL. (C)</w:t>
            </w:r>
          </w:p>
          <w:p w14:paraId="3A5907B6" w14:textId="77777777" w:rsidR="00EE70B8" w:rsidRDefault="00C15354">
            <w:pPr>
              <w:numPr>
                <w:ilvl w:val="0"/>
                <w:numId w:val="7"/>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Reportes de encaje legal y multas por deficiencias de encaje legal; movimiento contable; casos prácticos. (C)</w:t>
            </w:r>
          </w:p>
          <w:p w14:paraId="0489AAF6" w14:textId="77777777" w:rsidR="00EE70B8" w:rsidRDefault="00C15354">
            <w:pPr>
              <w:numPr>
                <w:ilvl w:val="0"/>
                <w:numId w:val="7"/>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Protección del ahorrista: Fondo de Protección al Ahorrista previsto en la Ley de Servicios Financieros. (C)</w:t>
            </w:r>
          </w:p>
        </w:tc>
        <w:tc>
          <w:tcPr>
            <w:tcW w:w="2741"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0704AAD" w14:textId="77777777" w:rsidR="00EE70B8" w:rsidRDefault="00C15354">
            <w:pPr>
              <w:numPr>
                <w:ilvl w:val="0"/>
                <w:numId w:val="6"/>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Nociones de verificación de firmas y de documentos de identidad en la apertura de cuentas.</w:t>
            </w:r>
          </w:p>
          <w:p w14:paraId="5EEDA83C" w14:textId="77777777" w:rsidR="00EE70B8" w:rsidRDefault="00C15354">
            <w:pPr>
              <w:numPr>
                <w:ilvl w:val="0"/>
                <w:numId w:val="6"/>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Nociones del régimen de capacidad civil y de representación de los titulares de cuentas.</w:t>
            </w:r>
          </w:p>
        </w:tc>
      </w:tr>
      <w:tr w:rsidR="00EE70B8" w14:paraId="11E125D3" w14:textId="77777777">
        <w:trPr/>
        <w:tc>
          <w:tcPr>
            <w:tcW w:w="9393" w:type="dxa"/>
            <w:gridSpan w:val="16"/>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14:paraId="09A173B9" w14:textId="77777777" w:rsidR="00EE70B8" w:rsidRDefault="00C15354">
            <w:pPr>
              <w:spacing w:before="20" w:after="20" w:line="240" w:lineRule="auto"/>
              <w:rPr>
                <w:rFonts w:ascii="Century Gothic" w:hAnsi="Century Gothic" w:cs="Century Gothic" w:eastAsia="Century Gothic"/>
                <w:sz w:val="18"/>
                <w:szCs w:val="18"/>
              </w:rPr>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Aplica el tratamiento contable de la cartera de créditos de una entidad financiera, desde el desembolso hasta la recuperación, considerando la previsión, el devengamiento de intereses, los créditos con recursos de segundo piso, la cartera en ejecución y los bienes adjudicados por vía legal.</w:t>
            </w:r>
          </w:p>
        </w:tc>
      </w:tr>
      <w:tr w:rsidR="00EE70B8" w14:paraId="401F4661" w14:textId="77777777">
        <w:tc>
          <w:tcPr>
            <w:tcW w:w="3131" w:type="dxa"/>
            <w:gridSpan w:val="5"/>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0574CA2D" w14:textId="77777777" w:rsidR="00EE70B8" w:rsidRDefault="00C1535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Criterios de desempeño</w:t>
            </w: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6C7CCE80" w14:textId="77777777" w:rsidR="00EE70B8" w:rsidRDefault="00C1535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Evidencias de desempeño</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0B0B0083" w14:textId="77777777" w:rsidR="00EE70B8" w:rsidRDefault="00C1535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Evidencias de producto</w:t>
            </w:r>
          </w:p>
        </w:tc>
      </w:tr>
      <w:tr w:rsidR="00EE70B8" w14:paraId="449DB441" w14:textId="77777777">
        <w:trPr/>
        <w:tc>
          <w:tcPr>
            <w:tcW w:w="3131" w:type="dxa"/>
            <w:gridSpan w:val="5"/>
            <w:vMerge w:val="restart"/>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ADBD833"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1. Registra el tratamiento contable individual de los tipos y modalidades de crédito que ofrece una entidad financiera, a lo largo de su ciclo contable: desembolso, previsión, devengamiento de intereses y recuperación.</w:t>
            </w: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14:paraId="2F01D1A7"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1.1 Desarrolla en aula un ejercicio integral de las operaciones de la cartera vigente de una entidad financiera (desembolso, devengamiento de intereses, previsión y recuperación) y lo expone en los estados financieros.</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14:paraId="73D4C530"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Ejercicio integral de las operaciones de la cartera vigente de una entidad financiera, con su exposición en los estados financieros.</w:t>
            </w:r>
          </w:p>
        </w:tc>
      </w:tr>
      <w:tr w:rsidR="00EE70B8" w14:paraId="2FA0BBB0" w14:textId="77777777">
        <w:trPr/>
        <w:tc>
          <w:tcPr>
            <w:tcW w:w="3131" w:type="dxa"/>
            <w:gridSpan w:val="5"/>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118F827"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14:paraId="65F4E880"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1.2 Desarrolla en equipo un ejercicio integral de las operaciones de la cartera vencida, calculando los intereses vencidos y los intereses penales, y lo expone en los estados financieros.</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14:paraId="7F886BE9" w14:textId="77777777" w:rsidR="00EE70B8" w:rsidRDefault="00C15354">
            <w:pPr>
              <w:spacing w:before="20" w:after="20" w:line="240" w:lineRule="auto"/>
              <w:jc w:val="left"/>
              <w:rPr>
                <w:rFonts w:ascii="Century Gothic" w:hAnsi="Century Gothic" w:cs="Century Gothic" w:eastAsia="Century Gothic"/>
                <w:b/>
                <w:bCs/>
                <w:sz w:val="18"/>
                <w:szCs w:val="18"/>
              </w:rPr>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Ejercicio integral de las operaciones de la cartera vencida, con el cálculo de los intereses vencidos y penales y su exposición en los estados financieros.</w:t>
            </w:r>
          </w:p>
        </w:tc>
      </w:tr>
      <w:tr w:rsidR="00EE70B8" w14:paraId="55490786" w14:textId="77777777">
        <w:trPr/>
        <w:tc>
          <w:tcPr>
            <w:tcW w:w="3131" w:type="dxa"/>
            <w:gridSpan w:val="5"/>
            <w:vMerge w:val="restart"/>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444D1419"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2. Registra el tratamiento contable de los créditos con recursos de entidades financieras, de la cartera en ejecución y de la recuperación del crédito mediante bienes adjudicados por vía legal.</w:t>
            </w: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14:paraId="5C08CFA8"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2.1 Registra en aula las operaciones de crédito con recursos de entidades financieras y las expone en los estados financieros.</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14:paraId="5913524C"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Tratamiento contable de los créditos con recursos de entidades financieras, con su exposición en los estados financieros.</w:t>
            </w:r>
          </w:p>
        </w:tc>
      </w:tr>
      <w:tr w:rsidR="00EE70B8" w14:paraId="19793FC6" w14:textId="77777777">
        <w:trPr/>
        <w:tc>
          <w:tcPr>
            <w:tcW w:w="3131" w:type="dxa"/>
            <w:gridSpan w:val="5"/>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DB27851"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14:paraId="72BEB70E"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2.2 Registra en equipo el tratamiento contable de la cartera en ejecución y de su recuperación mediante la adjudicación de bienes por vía legal, y lo expone en los estados financieros.</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14:paraId="19818934"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Tratamiento contable de la cartera en ejecución y de su recuperación mediante la adjudicación de bienes, con su exposición en los estados financieros.</w:t>
            </w:r>
          </w:p>
        </w:tc>
      </w:tr>
      <w:tr w:rsidR="00EE70B8" w14:paraId="48B4FCED" w14:textId="77777777">
        <w:tc>
          <w:tcPr>
            <w:tcW w:w="9393" w:type="dxa"/>
            <w:gridSpan w:val="16"/>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5B904507" w14:textId="77777777" w:rsidR="00EE70B8" w:rsidRDefault="00C1535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Evidencias de conocimiento</w:t>
            </w:r>
          </w:p>
        </w:tc>
      </w:tr>
      <w:tr w:rsidR="00EE70B8" w14:paraId="06BC49D0" w14:textId="77777777">
        <w:tc>
          <w:tcPr>
            <w:tcW w:w="2348"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6257F2B4" w14:textId="77777777" w:rsidR="00EE70B8" w:rsidRDefault="00C15354">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Unidad de aprendizaje</w:t>
            </w:r>
          </w:p>
        </w:tc>
        <w:tc>
          <w:tcPr>
            <w:tcW w:w="4304" w:type="dxa"/>
            <w:gridSpan w:val="8"/>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306BEBA"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b/>
                <w:bCs/>
                <w:i/>
                <w:iCs/>
                <w:sz w:val="18"/>
                <w:szCs w:val="18"/>
              </w:rPr>
              <w:t>Contenidos</w:t>
            </w:r>
          </w:p>
          <w:p w14:paraId="14CFCF86"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i/>
                <w:iCs/>
                <w:sz w:val="18"/>
                <w:szCs w:val="18"/>
              </w:rPr>
              <w:t>C: cognitivo · P: procedimental · A: actitudinal · T: manejo de tecnología e IA</w:t>
            </w:r>
          </w:p>
        </w:tc>
        <w:tc>
          <w:tcPr>
            <w:tcW w:w="2741"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0358F504" w14:textId="77777777" w:rsidR="00EE70B8" w:rsidRDefault="00C15354">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Conocimientos circunstanciales</w:t>
            </w:r>
          </w:p>
        </w:tc>
      </w:tr>
      <w:tr w:rsidR="00EE70B8" w14:paraId="7E1F0905" w14:textId="77777777">
        <w:tc>
          <w:tcPr>
            <w:tcW w:w="2348"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0685C40"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Tema 11: Cartera de Créditos</w:t>
            </w:r>
          </w:p>
          <w:p w14:paraId="3EA7B2C1"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Tema 12: Régimen de Previsiones de Cartera</w:t>
            </w:r>
          </w:p>
          <w:p w14:paraId="42817619"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Tema 13: Adelantos en Cuentas Corrientes</w:t>
            </w:r>
          </w:p>
          <w:p w14:paraId="7B9C7917"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Tema 14: Documentos Descontados</w:t>
            </w:r>
          </w:p>
          <w:p w14:paraId="3CDE69A8"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Tema 15: Préstamos a Plazo Fijo</w:t>
            </w:r>
          </w:p>
          <w:p w14:paraId="3B882713"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Tema 16: Préstamos Amortizables</w:t>
            </w:r>
          </w:p>
          <w:p w14:paraId="714FE3F5"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Tema 17: Tarjetas de Crédito</w:t>
            </w:r>
          </w:p>
          <w:p w14:paraId="20E928F7" w14:textId="6FF618F1"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Tema 18: Préstamos con Recursos de</w:t>
            </w:r>
            <w:r w:rsidR="00906D7D">
              <w:rPr>
                <w:rFonts w:ascii="Century Gothic" w:hAnsi="Century Gothic" w:cs="Century Gothic" w:eastAsia="Century Gothic"/>
                <w:sz w:val="18"/>
                <w:szCs w:val="18"/>
              </w:rPr>
              <w:t>l BCB/</w:t>
            </w:r>
            <w:bookmarkStart w:id="0" w:name="_GoBack"/>
            <w:bookmarkEnd w:id="0"/>
            <w:r>
              <w:rPr>
                <w:rFonts w:ascii="Century Gothic" w:hAnsi="Century Gothic" w:cs="Century Gothic" w:eastAsia="Century Gothic"/>
                <w:sz w:val="18"/>
                <w:szCs w:val="18"/>
              </w:rPr>
              <w:t xml:space="preserve"> Entidades Financieras de Segundo Piso</w:t>
            </w:r>
          </w:p>
          <w:p w14:paraId="2BD5420E"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Tema 19: Cartera en Mora</w:t>
            </w:r>
          </w:p>
          <w:p w14:paraId="2F53E103"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Tema 20: Bienes Adjudicados</w:t>
            </w:r>
          </w:p>
        </w:tc>
        <w:tc>
          <w:tcPr>
            <w:tcW w:w="4304" w:type="dxa"/>
            <w:gridSpan w:val="8"/>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14:paraId="3FEC0655" w14:textId="77777777" w:rsidR="00EE70B8" w:rsidRDefault="00C15354">
            <w:pPr>
              <w:keepNext/>
              <w:spacing w:before="60" w:after="40" w:line="240" w:lineRule="auto"/>
              <w:rPr>
                <w:rFonts w:ascii="Century Gothic" w:hAnsi="Century Gothic" w:cs="Century Gothic" w:eastAsia="Century Gothic"/>
                <w:sz w:val="18"/>
                <w:szCs w:val="18"/>
              </w:rPr>
            </w:pPr>
            <w:r>
              <w:rPr>
                <w:rFonts w:ascii="Century Gothic" w:hAnsi="Century Gothic" w:cs="Century Gothic" w:eastAsia="Century Gothic"/>
                <w:b/>
                <w:bCs/>
                <w:sz w:val="18"/>
                <w:szCs w:val="18"/>
              </w:rPr>
              <w:t>Tema 11:</w:t>
            </w:r>
          </w:p>
          <w:p w14:paraId="5CBBC757" w14:textId="77777777" w:rsidR="00EE70B8" w:rsidRDefault="00C15354">
            <w:pPr>
              <w:numPr>
                <w:ilvl w:val="0"/>
                <w:numId w:val="4"/>
              </w:numPr>
              <w:pBdr>
                <w:top w:val="nil"/>
                <w:left w:val="nil"/>
                <w:bottom w:val="nil"/>
                <w:right w:val="nil"/>
                <w:between w:val="nil"/>
              </w:pBdr>
              <w:spacing w:after="4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Concepto, importancia y función de la cartera de créditos en una entidad financiera. (C)</w:t>
            </w:r>
          </w:p>
          <w:p w14:paraId="2ADB33FE" w14:textId="77777777" w:rsidR="00EE70B8" w:rsidRDefault="00C15354">
            <w:pPr>
              <w:numPr>
                <w:ilvl w:val="0"/>
                <w:numId w:val="4"/>
              </w:numPr>
              <w:pBdr>
                <w:top w:val="nil"/>
                <w:left w:val="nil"/>
                <w:bottom w:val="nil"/>
                <w:right w:val="nil"/>
                <w:between w:val="nil"/>
              </w:pBdr>
              <w:spacing w:after="4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Clasificación de los créditos según la Ley de Servicios Financieros y la normativa de la ASFI. (C)</w:t>
            </w:r>
          </w:p>
          <w:p w14:paraId="36665384" w14:textId="77777777" w:rsidR="00EE70B8" w:rsidRDefault="00C15354">
            <w:pPr>
              <w:numPr>
                <w:ilvl w:val="0"/>
                <w:numId w:val="4"/>
              </w:numPr>
              <w:pBdr>
                <w:top w:val="nil"/>
                <w:left w:val="nil"/>
                <w:bottom w:val="nil"/>
                <w:right w:val="nil"/>
                <w:between w:val="nil"/>
              </w:pBdr>
              <w:spacing w:after="4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Estructura de las cuentas de cartera en el Manual de Cuentas de la ASFI. (C)</w:t>
            </w:r>
          </w:p>
          <w:p w14:paraId="0E9ECA4B" w14:textId="77777777" w:rsidR="00EE70B8" w:rsidRDefault="00C15354">
            <w:pPr>
              <w:keepNext/>
              <w:spacing w:before="80" w:after="40" w:line="240" w:lineRule="auto"/>
              <w:rPr>
                <w:rFonts w:ascii="Century Gothic" w:hAnsi="Century Gothic" w:cs="Century Gothic" w:eastAsia="Century Gothic"/>
                <w:sz w:val="18"/>
                <w:szCs w:val="18"/>
              </w:rPr>
            </w:pPr>
            <w:r>
              <w:rPr>
                <w:rFonts w:ascii="Century Gothic" w:hAnsi="Century Gothic" w:cs="Century Gothic" w:eastAsia="Century Gothic"/>
                <w:b/>
                <w:bCs/>
                <w:sz w:val="18"/>
                <w:szCs w:val="18"/>
              </w:rPr>
              <w:t>Tema 12:</w:t>
            </w:r>
          </w:p>
          <w:p w14:paraId="7CC362D4" w14:textId="77777777" w:rsidR="00EE70B8" w:rsidRDefault="00C15354">
            <w:pPr>
              <w:numPr>
                <w:ilvl w:val="0"/>
                <w:numId w:val="4"/>
              </w:numPr>
              <w:pBdr>
                <w:top w:val="nil"/>
                <w:left w:val="nil"/>
                <w:bottom w:val="nil"/>
                <w:right w:val="nil"/>
                <w:between w:val="nil"/>
              </w:pBdr>
              <w:spacing w:after="4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Créditos empresariales: características, destino y tratamiento contable. (C, P)</w:t>
            </w:r>
          </w:p>
          <w:p w14:paraId="6EB35912" w14:textId="77777777" w:rsidR="00EE70B8" w:rsidRDefault="00C15354">
            <w:pPr>
              <w:numPr>
                <w:ilvl w:val="0"/>
                <w:numId w:val="4"/>
              </w:numPr>
              <w:pBdr>
                <w:top w:val="nil"/>
                <w:left w:val="nil"/>
                <w:bottom w:val="nil"/>
                <w:right w:val="nil"/>
                <w:between w:val="nil"/>
              </w:pBdr>
              <w:spacing w:after="4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Créditos PYME y microcréditos: características, destino y tratamiento contable. (C, P)</w:t>
            </w:r>
          </w:p>
          <w:p w14:paraId="716D03B1" w14:textId="77777777" w:rsidR="00EE70B8" w:rsidRDefault="00C15354">
            <w:pPr>
              <w:keepNext/>
              <w:spacing w:before="80" w:after="40" w:line="240" w:lineRule="auto"/>
              <w:rPr>
                <w:rFonts w:ascii="Century Gothic" w:hAnsi="Century Gothic" w:cs="Century Gothic" w:eastAsia="Century Gothic"/>
                <w:sz w:val="18"/>
                <w:szCs w:val="18"/>
              </w:rPr>
            </w:pPr>
            <w:r>
              <w:rPr>
                <w:rFonts w:ascii="Century Gothic" w:hAnsi="Century Gothic" w:cs="Century Gothic" w:eastAsia="Century Gothic"/>
                <w:b/>
                <w:bCs/>
                <w:sz w:val="18"/>
                <w:szCs w:val="18"/>
              </w:rPr>
              <w:t>Tema 13:</w:t>
            </w:r>
          </w:p>
          <w:p w14:paraId="7E339CC0" w14:textId="77777777" w:rsidR="00EE70B8" w:rsidRDefault="00C15354">
            <w:pPr>
              <w:numPr>
                <w:ilvl w:val="0"/>
                <w:numId w:val="4"/>
              </w:numPr>
              <w:pBdr>
                <w:top w:val="nil"/>
                <w:left w:val="nil"/>
                <w:bottom w:val="nil"/>
                <w:right w:val="nil"/>
                <w:between w:val="nil"/>
              </w:pBdr>
              <w:spacing w:after="4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Créditos de vivienda y de vivienda de interés social: características y tratamiento contable. (C, P)</w:t>
            </w:r>
          </w:p>
          <w:p w14:paraId="1D1170E8" w14:textId="77777777" w:rsidR="00EE70B8" w:rsidRDefault="00C15354">
            <w:pPr>
              <w:numPr>
                <w:ilvl w:val="0"/>
                <w:numId w:val="4"/>
              </w:numPr>
              <w:pBdr>
                <w:top w:val="nil"/>
                <w:left w:val="nil"/>
                <w:bottom w:val="nil"/>
                <w:right w:val="nil"/>
                <w:between w:val="nil"/>
              </w:pBdr>
              <w:spacing w:after="4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Créditos de consumo y de consumo debitado a una cuenta: características y tratamiento contable. (C, P)</w:t>
            </w:r>
          </w:p>
          <w:p w14:paraId="41253133" w14:textId="77777777" w:rsidR="00EE70B8" w:rsidRDefault="00C15354">
            <w:pPr>
              <w:keepNext/>
              <w:spacing w:before="80" w:after="40" w:line="240" w:lineRule="auto"/>
              <w:rPr>
                <w:rFonts w:ascii="Century Gothic" w:hAnsi="Century Gothic" w:cs="Century Gothic" w:eastAsia="Century Gothic"/>
                <w:sz w:val="18"/>
                <w:szCs w:val="18"/>
              </w:rPr>
            </w:pPr>
            <w:r>
              <w:rPr>
                <w:rFonts w:ascii="Century Gothic" w:hAnsi="Century Gothic" w:cs="Century Gothic" w:eastAsia="Century Gothic"/>
                <w:b/>
                <w:bCs/>
                <w:sz w:val="18"/>
                <w:szCs w:val="18"/>
              </w:rPr>
              <w:t>Tema 14:</w:t>
            </w:r>
          </w:p>
          <w:p w14:paraId="4ADD3EDA" w14:textId="77777777" w:rsidR="00EE70B8" w:rsidRDefault="00C15354">
            <w:pPr>
              <w:numPr>
                <w:ilvl w:val="0"/>
                <w:numId w:val="4"/>
              </w:numPr>
              <w:pBdr>
                <w:top w:val="nil"/>
                <w:left w:val="nil"/>
                <w:bottom w:val="nil"/>
                <w:right w:val="nil"/>
                <w:between w:val="nil"/>
              </w:pBdr>
              <w:spacing w:after="4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Modalidades de crédito: sobregiros, líneas de crédito, descuento de documentos y créditos en cuotas. (C, P)</w:t>
            </w:r>
          </w:p>
          <w:p w14:paraId="24C11C6B" w14:textId="77777777" w:rsidR="00EE70B8" w:rsidRDefault="00C15354">
            <w:pPr>
              <w:numPr>
                <w:ilvl w:val="0"/>
                <w:numId w:val="4"/>
              </w:numPr>
              <w:pBdr>
                <w:top w:val="nil"/>
                <w:left w:val="nil"/>
                <w:bottom w:val="nil"/>
                <w:right w:val="nil"/>
                <w:between w:val="nil"/>
              </w:pBdr>
              <w:spacing w:after="4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Operaciones contingentes: boletas de garantía y cartas de crédito. (C)</w:t>
            </w:r>
          </w:p>
          <w:p w14:paraId="1F6C0BF1" w14:textId="77777777" w:rsidR="00EE70B8" w:rsidRDefault="00C15354">
            <w:pPr>
              <w:keepNext/>
              <w:spacing w:before="80" w:after="40" w:line="240" w:lineRule="auto"/>
              <w:rPr>
                <w:rFonts w:ascii="Century Gothic" w:hAnsi="Century Gothic" w:cs="Century Gothic" w:eastAsia="Century Gothic"/>
                <w:sz w:val="18"/>
                <w:szCs w:val="18"/>
              </w:rPr>
            </w:pPr>
            <w:r>
              <w:rPr>
                <w:rFonts w:ascii="Century Gothic" w:hAnsi="Century Gothic" w:cs="Century Gothic" w:eastAsia="Century Gothic"/>
                <w:b/>
                <w:bCs/>
                <w:sz w:val="18"/>
                <w:szCs w:val="18"/>
              </w:rPr>
              <w:t>Tema 15:</w:t>
            </w:r>
          </w:p>
          <w:p w14:paraId="0F12D294" w14:textId="77777777" w:rsidR="00EE70B8" w:rsidRDefault="00C15354">
            <w:pPr>
              <w:numPr>
                <w:ilvl w:val="0"/>
                <w:numId w:val="4"/>
              </w:numPr>
              <w:pBdr>
                <w:top w:val="nil"/>
                <w:left w:val="nil"/>
                <w:bottom w:val="nil"/>
                <w:right w:val="nil"/>
                <w:between w:val="nil"/>
              </w:pBdr>
              <w:spacing w:after="4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Evaluación de la capacidad de pago y responsabilidad en el otorgamiento del crédito. (C, A)</w:t>
            </w:r>
          </w:p>
          <w:p w14:paraId="602529D1" w14:textId="77777777" w:rsidR="00EE70B8" w:rsidRDefault="00C15354">
            <w:pPr>
              <w:numPr>
                <w:ilvl w:val="0"/>
                <w:numId w:val="4"/>
              </w:numPr>
              <w:pBdr>
                <w:top w:val="nil"/>
                <w:left w:val="nil"/>
                <w:bottom w:val="nil"/>
                <w:right w:val="nil"/>
                <w:between w:val="nil"/>
              </w:pBdr>
              <w:spacing w:after="4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Garantías del crédito y su tratamiento contable. (C)</w:t>
            </w:r>
          </w:p>
          <w:p w14:paraId="0CC21DA8" w14:textId="77777777" w:rsidR="00EE70B8" w:rsidRDefault="00C15354">
            <w:pPr>
              <w:numPr>
                <w:ilvl w:val="0"/>
                <w:numId w:val="4"/>
              </w:numPr>
              <w:pBdr>
                <w:top w:val="nil"/>
                <w:left w:val="nil"/>
                <w:bottom w:val="nil"/>
                <w:right w:val="nil"/>
                <w:between w:val="nil"/>
              </w:pBdr>
              <w:spacing w:after="4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Calificación de la cartera y categorías de riesgo; régimen de previsiones específica, genérica y cíclica. (C, P)</w:t>
            </w:r>
          </w:p>
          <w:p w14:paraId="0DF86AA2" w14:textId="77777777" w:rsidR="00EE70B8" w:rsidRDefault="00C15354">
            <w:pPr>
              <w:keepNext/>
              <w:spacing w:before="80" w:after="40" w:line="240" w:lineRule="auto"/>
              <w:rPr>
                <w:rFonts w:ascii="Century Gothic" w:hAnsi="Century Gothic" w:cs="Century Gothic" w:eastAsia="Century Gothic"/>
                <w:sz w:val="18"/>
                <w:szCs w:val="18"/>
              </w:rPr>
            </w:pPr>
            <w:r>
              <w:rPr>
                <w:rFonts w:ascii="Century Gothic" w:hAnsi="Century Gothic" w:cs="Century Gothic" w:eastAsia="Century Gothic"/>
                <w:b/>
                <w:bCs/>
                <w:sz w:val="18"/>
                <w:szCs w:val="18"/>
              </w:rPr>
              <w:t>Tema 16:</w:t>
            </w:r>
          </w:p>
          <w:p w14:paraId="0E1F8FF6" w14:textId="77777777" w:rsidR="00EE70B8" w:rsidRDefault="00C15354">
            <w:pPr>
              <w:numPr>
                <w:ilvl w:val="0"/>
                <w:numId w:val="4"/>
              </w:numPr>
              <w:pBdr>
                <w:top w:val="nil"/>
                <w:left w:val="nil"/>
                <w:bottom w:val="nil"/>
                <w:right w:val="nil"/>
                <w:between w:val="nil"/>
              </w:pBdr>
              <w:spacing w:after="4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Desembolso del crédito: registro contable y comisiones. (P)</w:t>
            </w:r>
          </w:p>
          <w:p w14:paraId="6BE2924D" w14:textId="77777777" w:rsidR="00EE70B8" w:rsidRDefault="00C15354">
            <w:pPr>
              <w:numPr>
                <w:ilvl w:val="0"/>
                <w:numId w:val="4"/>
              </w:numPr>
              <w:pBdr>
                <w:top w:val="nil"/>
                <w:left w:val="nil"/>
                <w:bottom w:val="nil"/>
                <w:right w:val="nil"/>
                <w:between w:val="nil"/>
              </w:pBdr>
              <w:spacing w:after="4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Devengamiento de intereses y productos devengados por cobrar. (C, P)</w:t>
            </w:r>
          </w:p>
          <w:p w14:paraId="6E138E2E" w14:textId="77777777" w:rsidR="00EE70B8" w:rsidRDefault="00C15354">
            <w:pPr>
              <w:numPr>
                <w:ilvl w:val="0"/>
                <w:numId w:val="4"/>
              </w:numPr>
              <w:pBdr>
                <w:top w:val="nil"/>
                <w:left w:val="nil"/>
                <w:bottom w:val="nil"/>
                <w:right w:val="nil"/>
                <w:between w:val="nil"/>
              </w:pBdr>
              <w:spacing w:after="4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Cobro de cuotas, amortización y recuperación de la cartera vigente; plan de pagos en hoja de cálculo. (P, T)</w:t>
            </w:r>
          </w:p>
          <w:p w14:paraId="7F425E70" w14:textId="77777777" w:rsidR="00EE70B8" w:rsidRDefault="00C15354">
            <w:pPr>
              <w:numPr>
                <w:ilvl w:val="0"/>
                <w:numId w:val="4"/>
              </w:numPr>
              <w:pBdr>
                <w:top w:val="nil"/>
                <w:left w:val="nil"/>
                <w:bottom w:val="nil"/>
                <w:right w:val="nil"/>
                <w:between w:val="nil"/>
              </w:pBdr>
              <w:spacing w:after="4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Ejercicio integral de la cartera vigente y su exposición en los estados financieros. (P)</w:t>
            </w:r>
          </w:p>
          <w:p w14:paraId="302DE5E6" w14:textId="77777777" w:rsidR="00EE70B8" w:rsidRDefault="00C15354">
            <w:pPr>
              <w:keepNext/>
              <w:spacing w:before="80" w:after="40" w:line="240" w:lineRule="auto"/>
              <w:rPr>
                <w:rFonts w:ascii="Century Gothic" w:hAnsi="Century Gothic" w:cs="Century Gothic" w:eastAsia="Century Gothic"/>
                <w:sz w:val="18"/>
                <w:szCs w:val="18"/>
              </w:rPr>
            </w:pPr>
            <w:r>
              <w:rPr>
                <w:rFonts w:ascii="Century Gothic" w:hAnsi="Century Gothic" w:cs="Century Gothic" w:eastAsia="Century Gothic"/>
                <w:b/>
                <w:bCs/>
                <w:sz w:val="18"/>
                <w:szCs w:val="18"/>
              </w:rPr>
              <w:t>Tema 17:</w:t>
            </w:r>
          </w:p>
          <w:p w14:paraId="6BD98217" w14:textId="77777777" w:rsidR="00EE70B8" w:rsidRDefault="00C15354">
            <w:pPr>
              <w:numPr>
                <w:ilvl w:val="0"/>
                <w:numId w:val="4"/>
              </w:numPr>
              <w:pBdr>
                <w:top w:val="nil"/>
                <w:left w:val="nil"/>
                <w:bottom w:val="nil"/>
                <w:right w:val="nil"/>
                <w:between w:val="nil"/>
              </w:pBdr>
              <w:spacing w:after="4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Traspaso de la cartera vigente a cartera vencida; criterios de mora. (C)</w:t>
            </w:r>
          </w:p>
          <w:p w14:paraId="1260AEE2" w14:textId="77777777" w:rsidR="00EE70B8" w:rsidRDefault="00C15354">
            <w:pPr>
              <w:numPr>
                <w:ilvl w:val="0"/>
                <w:numId w:val="4"/>
              </w:numPr>
              <w:pBdr>
                <w:top w:val="nil"/>
                <w:left w:val="nil"/>
                <w:bottom w:val="nil"/>
                <w:right w:val="nil"/>
                <w:between w:val="nil"/>
              </w:pBdr>
              <w:spacing w:after="4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Cálculo y registro de los intereses vencidos y de los intereses penales; suspensión del devengamiento. (P, T)</w:t>
            </w:r>
          </w:p>
          <w:p w14:paraId="2221D7C4" w14:textId="77777777" w:rsidR="00EE70B8" w:rsidRDefault="00C15354">
            <w:pPr>
              <w:numPr>
                <w:ilvl w:val="0"/>
                <w:numId w:val="4"/>
              </w:numPr>
              <w:pBdr>
                <w:top w:val="nil"/>
                <w:left w:val="nil"/>
                <w:bottom w:val="nil"/>
                <w:right w:val="nil"/>
                <w:between w:val="nil"/>
              </w:pBdr>
              <w:spacing w:after="4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Previsión, recuperación y reprogramación de la cartera vencida. (C, P)</w:t>
            </w:r>
          </w:p>
          <w:p w14:paraId="075F2E82" w14:textId="77777777" w:rsidR="00EE70B8" w:rsidRDefault="00C15354">
            <w:pPr>
              <w:numPr>
                <w:ilvl w:val="0"/>
                <w:numId w:val="4"/>
              </w:numPr>
              <w:pBdr>
                <w:top w:val="nil"/>
                <w:left w:val="nil"/>
                <w:bottom w:val="nil"/>
                <w:right w:val="nil"/>
                <w:between w:val="nil"/>
              </w:pBdr>
              <w:spacing w:after="4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Ejercicio integral de la cartera vencida y su exposición en los estados financieros. (P)</w:t>
            </w:r>
          </w:p>
          <w:p w14:paraId="6987DC75" w14:textId="77777777" w:rsidR="00EE70B8" w:rsidRDefault="00C15354">
            <w:pPr>
              <w:keepNext/>
              <w:spacing w:before="80" w:after="40" w:line="240" w:lineRule="auto"/>
              <w:rPr>
                <w:rFonts w:ascii="Century Gothic" w:hAnsi="Century Gothic" w:cs="Century Gothic" w:eastAsia="Century Gothic"/>
                <w:sz w:val="18"/>
                <w:szCs w:val="18"/>
              </w:rPr>
            </w:pPr>
            <w:r>
              <w:rPr>
                <w:rFonts w:ascii="Century Gothic" w:hAnsi="Century Gothic" w:cs="Century Gothic" w:eastAsia="Century Gothic"/>
                <w:b/>
                <w:bCs/>
                <w:sz w:val="18"/>
                <w:szCs w:val="18"/>
              </w:rPr>
              <w:t>Tema 18:</w:t>
            </w:r>
          </w:p>
          <w:p w14:paraId="1C216D4A" w14:textId="77777777" w:rsidR="00EE70B8" w:rsidRDefault="00C15354">
            <w:pPr>
              <w:numPr>
                <w:ilvl w:val="0"/>
                <w:numId w:val="4"/>
              </w:numPr>
              <w:pBdr>
                <w:top w:val="nil"/>
                <w:left w:val="nil"/>
                <w:bottom w:val="nil"/>
                <w:right w:val="nil"/>
                <w:between w:val="nil"/>
              </w:pBdr>
              <w:spacing w:after="4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Entidades financieras de segundo piso: concepto, función y marco normativo. (C)</w:t>
            </w:r>
          </w:p>
          <w:p w14:paraId="496A823B" w14:textId="6FCD54BA" w:rsidR="00EE70B8" w:rsidRDefault="00C15354">
            <w:pPr>
              <w:numPr>
                <w:ilvl w:val="0"/>
                <w:numId w:val="4"/>
              </w:numPr>
              <w:pBdr>
                <w:top w:val="nil"/>
                <w:left w:val="nil"/>
                <w:bottom w:val="nil"/>
                <w:right w:val="nil"/>
                <w:between w:val="nil"/>
              </w:pBdr>
              <w:spacing w:after="4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 xml:space="preserve">Créditos con recursos </w:t>
            </w:r>
            <w:r w:rsidR="00906D7D">
              <w:rPr>
                <w:rFonts w:ascii="Century Gothic" w:hAnsi="Century Gothic" w:cs="Century Gothic" w:eastAsia="Century Gothic"/>
                <w:sz w:val="18"/>
                <w:szCs w:val="18"/>
              </w:rPr>
              <w:t>del BCB/</w:t>
            </w:r>
            <w:r>
              <w:rPr>
                <w:rFonts w:ascii="Century Gothic" w:hAnsi="Century Gothic" w:cs="Century Gothic" w:eastAsia="Century Gothic"/>
                <w:sz w:val="18"/>
                <w:szCs w:val="18"/>
              </w:rPr>
              <w:t xml:space="preserve"> segundo piso: obligaciones, desembolso, devengamiento y cancelación; tratamiento contable. (C, P)</w:t>
            </w:r>
          </w:p>
          <w:p w14:paraId="1612DCD0" w14:textId="77777777" w:rsidR="00EE70B8" w:rsidRDefault="00C15354">
            <w:pPr>
              <w:numPr>
                <w:ilvl w:val="0"/>
                <w:numId w:val="4"/>
              </w:numPr>
              <w:pBdr>
                <w:top w:val="nil"/>
                <w:left w:val="nil"/>
                <w:bottom w:val="nil"/>
                <w:right w:val="nil"/>
                <w:between w:val="nil"/>
              </w:pBdr>
              <w:spacing w:after="4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Exposición de las operaciones con recursos de segundo piso en los estados financieros. (P)</w:t>
            </w:r>
          </w:p>
          <w:p w14:paraId="6CADE70F" w14:textId="77777777" w:rsidR="00EE70B8" w:rsidRDefault="00C15354">
            <w:pPr>
              <w:keepNext/>
              <w:spacing w:before="80" w:after="40" w:line="240" w:lineRule="auto"/>
              <w:rPr>
                <w:rFonts w:ascii="Century Gothic" w:hAnsi="Century Gothic" w:cs="Century Gothic" w:eastAsia="Century Gothic"/>
                <w:sz w:val="18"/>
                <w:szCs w:val="18"/>
              </w:rPr>
            </w:pPr>
            <w:r>
              <w:rPr>
                <w:rFonts w:ascii="Century Gothic" w:hAnsi="Century Gothic" w:cs="Century Gothic" w:eastAsia="Century Gothic"/>
                <w:b/>
                <w:bCs/>
                <w:sz w:val="18"/>
                <w:szCs w:val="18"/>
              </w:rPr>
              <w:t>Tema 19:</w:t>
            </w:r>
          </w:p>
          <w:p w14:paraId="66861FEF" w14:textId="77777777" w:rsidR="00EE70B8" w:rsidRDefault="00C15354">
            <w:pPr>
              <w:numPr>
                <w:ilvl w:val="0"/>
                <w:numId w:val="4"/>
              </w:numPr>
              <w:pBdr>
                <w:top w:val="nil"/>
                <w:left w:val="nil"/>
                <w:bottom w:val="nil"/>
                <w:right w:val="nil"/>
                <w:between w:val="nil"/>
              </w:pBdr>
              <w:spacing w:after="4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Traspaso a cartera en ejecución; inicio de la acción judicial y suspensión de productos. (C)</w:t>
            </w:r>
          </w:p>
          <w:p w14:paraId="42840CD5" w14:textId="77777777" w:rsidR="00EE70B8" w:rsidRDefault="00C15354">
            <w:pPr>
              <w:numPr>
                <w:ilvl w:val="0"/>
                <w:numId w:val="4"/>
              </w:numPr>
              <w:pBdr>
                <w:top w:val="nil"/>
                <w:left w:val="nil"/>
                <w:bottom w:val="nil"/>
                <w:right w:val="nil"/>
                <w:between w:val="nil"/>
              </w:pBdr>
              <w:spacing w:after="4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Previsión y registro contable de la cartera en ejecución. (C, P)</w:t>
            </w:r>
          </w:p>
          <w:p w14:paraId="5EED2EA1" w14:textId="77777777" w:rsidR="00EE70B8" w:rsidRDefault="00C15354">
            <w:pPr>
              <w:numPr>
                <w:ilvl w:val="0"/>
                <w:numId w:val="4"/>
              </w:numPr>
              <w:pBdr>
                <w:top w:val="nil"/>
                <w:left w:val="nil"/>
                <w:bottom w:val="nil"/>
                <w:right w:val="nil"/>
                <w:between w:val="nil"/>
              </w:pBdr>
              <w:spacing w:after="4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Recuperación de la cartera en ejecución y castigo de créditos. (C)</w:t>
            </w:r>
          </w:p>
          <w:p w14:paraId="4C22BBDE" w14:textId="77777777" w:rsidR="00EE70B8" w:rsidRDefault="00C15354">
            <w:pPr>
              <w:keepNext/>
              <w:spacing w:before="80" w:after="40" w:line="240" w:lineRule="auto"/>
              <w:rPr>
                <w:rFonts w:ascii="Century Gothic" w:hAnsi="Century Gothic" w:cs="Century Gothic" w:eastAsia="Century Gothic"/>
                <w:sz w:val="18"/>
                <w:szCs w:val="18"/>
              </w:rPr>
            </w:pPr>
            <w:r>
              <w:rPr>
                <w:rFonts w:ascii="Century Gothic" w:hAnsi="Century Gothic" w:cs="Century Gothic" w:eastAsia="Century Gothic"/>
                <w:b/>
                <w:bCs/>
                <w:sz w:val="18"/>
                <w:szCs w:val="18"/>
              </w:rPr>
              <w:t>Tema 20:</w:t>
            </w:r>
          </w:p>
          <w:p w14:paraId="6B8E0445" w14:textId="77777777" w:rsidR="00EE70B8" w:rsidRDefault="00C15354">
            <w:pPr>
              <w:numPr>
                <w:ilvl w:val="0"/>
                <w:numId w:val="4"/>
              </w:numPr>
              <w:pBdr>
                <w:top w:val="nil"/>
                <w:left w:val="nil"/>
                <w:bottom w:val="nil"/>
                <w:right w:val="nil"/>
                <w:between w:val="nil"/>
              </w:pBdr>
              <w:spacing w:after="4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Adjudicación de bienes por vía legal: procedimiento y requisitos. (C)</w:t>
            </w:r>
          </w:p>
          <w:p w14:paraId="4246B5FD" w14:textId="77777777" w:rsidR="00EE70B8" w:rsidRDefault="00C15354">
            <w:pPr>
              <w:numPr>
                <w:ilvl w:val="0"/>
                <w:numId w:val="4"/>
              </w:numPr>
              <w:pBdr>
                <w:top w:val="nil"/>
                <w:left w:val="nil"/>
                <w:bottom w:val="nil"/>
                <w:right w:val="nil"/>
                <w:between w:val="nil"/>
              </w:pBdr>
              <w:spacing w:after="4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Registro contable de los bienes adjudicados, previsión por tenencia y enajenación. (C, P)</w:t>
            </w:r>
          </w:p>
          <w:p w14:paraId="2DC08C8B" w14:textId="77777777" w:rsidR="00EE70B8" w:rsidRDefault="00C15354">
            <w:pPr>
              <w:numPr>
                <w:ilvl w:val="0"/>
                <w:numId w:val="8"/>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Exposición de la cartera en ejecución y de los bienes adjudicados en los estados financieros. (P)</w:t>
            </w:r>
          </w:p>
        </w:tc>
        <w:tc>
          <w:tcPr>
            <w:tcW w:w="2741"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14:paraId="4EDC7DF9" w14:textId="77777777" w:rsidR="00EE70B8" w:rsidRDefault="00C15354">
            <w:pPr>
              <w:numPr>
                <w:ilvl w:val="0"/>
                <w:numId w:val="5"/>
              </w:numPr>
              <w:pBdr>
                <w:top w:val="nil"/>
                <w:left w:val="nil"/>
                <w:bottom w:val="nil"/>
                <w:right w:val="nil"/>
                <w:between w:val="nil"/>
              </w:pBdr>
              <w:spacing w:after="8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Nociones del proceso de solicitud, evaluación y aprobación del crédito.</w:t>
            </w:r>
          </w:p>
          <w:p w14:paraId="7BD98C40" w14:textId="77777777" w:rsidR="00EE70B8" w:rsidRDefault="00C15354">
            <w:pPr>
              <w:numPr>
                <w:ilvl w:val="0"/>
                <w:numId w:val="5"/>
              </w:numPr>
              <w:pBdr>
                <w:top w:val="nil"/>
                <w:left w:val="nil"/>
                <w:bottom w:val="nil"/>
                <w:right w:val="nil"/>
                <w:between w:val="nil"/>
              </w:pBdr>
              <w:spacing w:after="8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Nociones de la Central de Información Crediticia y del análisis de riesgo del prestatario.</w:t>
            </w:r>
          </w:p>
          <w:p w14:paraId="63E66870" w14:textId="77777777" w:rsidR="00EE70B8" w:rsidRDefault="00C15354">
            <w:pPr>
              <w:numPr>
                <w:ilvl w:val="0"/>
                <w:numId w:val="5"/>
              </w:numPr>
              <w:pBdr>
                <w:top w:val="nil"/>
                <w:left w:val="nil"/>
                <w:bottom w:val="nil"/>
                <w:right w:val="nil"/>
                <w:between w:val="nil"/>
              </w:pBdr>
              <w:spacing w:after="8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Nociones del proceso judicial de cobro de créditos.</w:t>
            </w:r>
          </w:p>
          <w:p w14:paraId="19416DD3" w14:textId="77777777" w:rsidR="00EE70B8" w:rsidRDefault="00C15354">
            <w:pPr>
              <w:numPr>
                <w:ilvl w:val="0"/>
                <w:numId w:val="6"/>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Nociones de tasación de bienes muebles e inmuebles.</w:t>
            </w:r>
          </w:p>
        </w:tc>
      </w:tr>
      <w:tr w:rsidR="00EE70B8" w14:paraId="2210913C" w14:textId="77777777">
        <w:trPr/>
        <w:tc>
          <w:tcPr>
            <w:tcW w:w="9393" w:type="dxa"/>
            <w:gridSpan w:val="16"/>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14:paraId="07AA0F10" w14:textId="77777777" w:rsidR="00EE70B8" w:rsidRDefault="00C15354">
            <w:pPr>
              <w:spacing w:before="20" w:after="20" w:line="240" w:lineRule="auto"/>
              <w:rPr>
                <w:rFonts w:ascii="Century Gothic" w:hAnsi="Century Gothic" w:cs="Century Gothic" w:eastAsia="Century Gothic"/>
                <w:sz w:val="18"/>
                <w:szCs w:val="18"/>
              </w:rPr>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Describe, a nivel de nociones, los instrumentos financieros y las operaciones de los agentes de bolsa, las sociedades administradoras de fondos de inversión, las entidades de leasing y las entidades auxiliares financieras, de acuerdo con la normativa del sistema financiero boliviano.</w:t>
            </w:r>
          </w:p>
        </w:tc>
      </w:tr>
      <w:tr w:rsidR="00EE70B8" w14:paraId="6C030355" w14:textId="77777777">
        <w:tc>
          <w:tcPr>
            <w:tcW w:w="3131"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0A07C04"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i/>
                <w:iCs/>
                <w:sz w:val="18"/>
                <w:szCs w:val="18"/>
              </w:rPr>
              <w:t>Criterios de desempeño</w:t>
            </w: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7C2A1C2"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i/>
                <w:iCs/>
                <w:sz w:val="18"/>
                <w:szCs w:val="18"/>
              </w:rPr>
              <w:t>Criterios de desempeño</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0C47680"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i/>
                <w:iCs/>
                <w:sz w:val="18"/>
                <w:szCs w:val="18"/>
              </w:rPr>
              <w:t>Criterios de desempeño</w:t>
            </w:r>
          </w:p>
        </w:tc>
      </w:tr>
      <w:tr w:rsidR="00EE70B8" w14:paraId="0B2B5A6C" w14:textId="77777777">
        <w:trPr/>
        <w:tc>
          <w:tcPr>
            <w:tcW w:w="3131" w:type="dxa"/>
            <w:gridSpan w:val="5"/>
            <w:vMerge w:val="restart"/>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4AA3D73A"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1. Describe, a nivel de nociones, los instrumentos financieros y el mercado de valores boliviano, identificando la función de los agentes de bolsa y de las sociedades administradoras de fondos de inversión.</w:t>
            </w: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A84B5F3"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1. Describe, a nivel de nociones, los instrumentos financieros y el mercado de valores boliviano, identificando la función de los agentes de bolsa y de las sociedades administradoras de fondos de inversión.</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044D1A5"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1. Describe, a nivel de nociones, los instrumentos financieros y el mercado de valores boliviano, identificando la función de los agentes de bolsa y de las sociedades administradoras de fondos de inversión.</w:t>
            </w:r>
          </w:p>
        </w:tc>
      </w:tr>
      <w:tr w:rsidR="00EE70B8" w14:paraId="3AFA2D0E" w14:textId="77777777">
        <w:trPr/>
        <w:tc>
          <w:tcPr>
            <w:tcW w:w="3131" w:type="dxa"/>
            <w:gridSpan w:val="5"/>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9388C8C"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97489E3"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1.2 Expone en equipo las operaciones de un agente de bolsa, de una SAFI y de una entidad auxiliar financiera, y registra en aula la operatoria contable de un contrato de leasing comparándolo con el crédito bancario según la NIIF 16.</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6DA97B0"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Esquema de la operatoria contable de agentes de bolsa, SAFI y entidades auxiliares, y asientos con cuadro comparativo del leasing frente al crédito bancario.</w:t>
            </w:r>
          </w:p>
        </w:tc>
      </w:tr>
      <w:tr w:rsidR="00EE70B8" w14:paraId="701839EB" w14:textId="77777777">
        <w:trPr/>
        <w:tc>
          <w:tcPr>
            <w:tcW w:w="3131" w:type="dxa"/>
            <w:gridSpan w:val="5"/>
            <w:vMerge w:val="restart"/>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A9F3E24"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2. Describe, a nivel de nociones, las entidades de leasing y las entidades auxiliares financieras, y aplica el concepto de leasing en un caso práctico sencillo.</w:t>
            </w: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A1FAC91"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2. Describe, a nivel de nociones, las entidades de leasing y las entidades auxiliares financieras, y aplica el concepto de leasing en un caso práctico sencillo.</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C2C0712"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2. Describe, a nivel de nociones, las entidades de leasing y las entidades auxiliares financieras, y aplica el concepto de leasing en un caso práctico sencillo.</w:t>
            </w:r>
          </w:p>
        </w:tc>
      </w:tr>
      <w:tr w:rsidR="00EE70B8" w14:paraId="67F48AC1" w14:textId="77777777">
        <w:trPr/>
        <w:tc>
          <w:tcPr>
            <w:tcW w:w="3131" w:type="dxa"/>
            <w:gridSpan w:val="5"/>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C72DA4A"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D2D34B5"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2.2 Calcula los indicadores de desempeño de una entidad financiera a partir de sus estados publicados y sustenta ante el curso el diagnóstico financiero de un banco boliviano.</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A4BC5EB" w14:textId="77777777" w:rsidR="00EE70B8" w:rsidRDefault="00C15354">
            <w:pPr>
              <w:spacing w:before="20" w:after="20" w:line="240" w:lineRule="auto"/>
              <w:jc w:val="left"/>
              <w:rPr>
                <w:rFonts w:ascii="Century Gothic" w:hAnsi="Century Gothic" w:cs="Century Gothic" w:eastAsia="Century Gothic"/>
                <w:sz w:val="18"/>
                <w:szCs w:val="18"/>
              </w:rPr>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Tablero de indicadores de solvencia, liquidez y calidad de cartera e informe de diagnóstico financiero de un banco boliviano.</w:t>
            </w:r>
          </w:p>
        </w:tc>
      </w:tr>
      <w:tr w:rsidR="00EE70B8" w14:paraId="50DC4F7E" w14:textId="77777777">
        <w:tc>
          <w:tcPr>
            <w:tcW w:w="9393" w:type="dxa"/>
            <w:gridSpan w:val="16"/>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2B7C0BC5" w14:textId="77777777" w:rsidR="00EE70B8" w:rsidRDefault="00C1535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Evidencias de conocimiento</w:t>
            </w:r>
          </w:p>
        </w:tc>
      </w:tr>
      <w:tr w:rsidR="00EE70B8" w14:paraId="59E5B8E7" w14:textId="77777777">
        <w:tc>
          <w:tcPr>
            <w:tcW w:w="2348"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2EE28731" w14:textId="77777777" w:rsidR="00EE70B8" w:rsidRDefault="00C15354">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Unidad de aprendizaje</w:t>
            </w:r>
          </w:p>
        </w:tc>
        <w:tc>
          <w:tcPr>
            <w:tcW w:w="4304" w:type="dxa"/>
            <w:gridSpan w:val="8"/>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4369244A"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b/>
                <w:bCs/>
                <w:i/>
                <w:iCs/>
                <w:sz w:val="18"/>
                <w:szCs w:val="18"/>
              </w:rPr>
              <w:t>Contenidos</w:t>
            </w:r>
          </w:p>
          <w:p w14:paraId="33A1FB48"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i/>
                <w:iCs/>
                <w:sz w:val="18"/>
                <w:szCs w:val="18"/>
              </w:rPr>
              <w:t>C: cognitivo · P: procedimental · A: actitudinal · T: manejo de tecnología e IA</w:t>
            </w:r>
          </w:p>
        </w:tc>
        <w:tc>
          <w:tcPr>
            <w:tcW w:w="2741"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6831CF2C" w14:textId="77777777" w:rsidR="00EE70B8" w:rsidRDefault="00C15354">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Conocimientos circunstanciales</w:t>
            </w:r>
          </w:p>
        </w:tc>
      </w:tr>
      <w:tr w:rsidR="00EE70B8" w14:paraId="6A16F065" w14:textId="77777777">
        <w:tc>
          <w:tcPr>
            <w:tcW w:w="2348"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14:paraId="5CF361AA" w14:textId="77777777" w:rsidR="00EE70B8" w:rsidRDefault="00C15354">
            <w:pPr>
              <w:spacing w:after="8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Tema 21: Instrumentos Financieros</w:t>
            </w:r>
          </w:p>
          <w:p w14:paraId="7FF6983C" w14:textId="77777777" w:rsidR="00EE70B8" w:rsidRDefault="00C15354">
            <w:pPr>
              <w:spacing w:after="8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Tema 22: Agentes de Bolsa</w:t>
            </w:r>
          </w:p>
          <w:p w14:paraId="323B4210" w14:textId="77777777" w:rsidR="00EE70B8" w:rsidRDefault="00C15354">
            <w:pPr>
              <w:spacing w:after="8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Tema 23: Sociedades Administradoras de Fondos de Inversión (</w:t>
            </w:r>
            <w:proofErr w:type="spellStart"/>
            <w:r>
              <w:rPr>
                <w:rFonts w:ascii="Century Gothic" w:hAnsi="Century Gothic" w:cs="Century Gothic" w:eastAsia="Century Gothic"/>
                <w:sz w:val="18"/>
                <w:szCs w:val="18"/>
              </w:rPr>
              <w:t>SAFIs</w:t>
            </w:r>
            <w:proofErr w:type="spellEnd"/>
            <w:r>
              <w:rPr>
                <w:rFonts w:ascii="Century Gothic" w:hAnsi="Century Gothic" w:cs="Century Gothic" w:eastAsia="Century Gothic"/>
                <w:sz w:val="18"/>
                <w:szCs w:val="18"/>
              </w:rPr>
              <w:t>)</w:t>
            </w:r>
          </w:p>
          <w:p w14:paraId="26623ADA" w14:textId="77777777" w:rsidR="00EE70B8" w:rsidRDefault="00C15354">
            <w:pPr>
              <w:spacing w:after="8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Tema 24: Entidades de Leasing</w:t>
            </w:r>
          </w:p>
          <w:p w14:paraId="21788B46" w14:textId="77777777" w:rsidR="00EE70B8" w:rsidRDefault="00C15354">
            <w:pPr>
              <w:spacing w:after="8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Tema 25: Entidades Auxiliares Financieras</w:t>
            </w:r>
          </w:p>
        </w:tc>
        <w:tc>
          <w:tcPr>
            <w:tcW w:w="4304" w:type="dxa"/>
            <w:gridSpan w:val="8"/>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14:paraId="2883BA3F" w14:textId="77777777" w:rsidR="00EE70B8" w:rsidRDefault="00C15354">
            <w:pPr>
              <w:pBdr>
                <w:top w:val="nil"/>
                <w:left w:val="nil"/>
                <w:bottom w:val="nil"/>
                <w:right w:val="nil"/>
                <w:between w:val="nil"/>
              </w:pBdr>
              <w:spacing w:line="240" w:lineRule="auto"/>
              <w:ind w:left="420"/>
              <w:jc w:val="left"/>
              <w:rPr>
                <w:rFonts w:ascii="Century Gothic" w:hAnsi="Century Gothic" w:cs="Century Gothic" w:eastAsia="Century Gothic"/>
                <w:b/>
                <w:bCs/>
                <w:sz w:val="18"/>
                <w:szCs w:val="18"/>
              </w:rPr>
            </w:pPr>
            <w:r>
              <w:rPr>
                <w:rFonts w:ascii="Century Gothic" w:hAnsi="Century Gothic" w:cs="Century Gothic" w:eastAsia="Century Gothic"/>
                <w:b/>
                <w:bCs/>
                <w:sz w:val="18"/>
                <w:szCs w:val="18"/>
              </w:rPr>
              <w:t>Tema 21:</w:t>
            </w:r>
          </w:p>
          <w:p w14:paraId="608CD71B" w14:textId="77777777" w:rsidR="00EE70B8" w:rsidRDefault="00C15354">
            <w:pPr>
              <w:numPr>
                <w:ilvl w:val="0"/>
                <w:numId w:val="1"/>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Concepto y tipos de instrumentos financieros: instrumentos de renta fija e instrumentos de renta variable. (C)</w:t>
            </w:r>
          </w:p>
          <w:p w14:paraId="162506F2" w14:textId="77777777" w:rsidR="00EE70B8" w:rsidRDefault="00C15354">
            <w:pPr>
              <w:numPr>
                <w:ilvl w:val="0"/>
                <w:numId w:val="1"/>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Concepto de activo financiero y de pasivo financiero. (C)</w:t>
            </w:r>
          </w:p>
          <w:p w14:paraId="2588271D" w14:textId="77777777" w:rsidR="00EE70B8" w:rsidRDefault="00C15354">
            <w:pPr>
              <w:numPr>
                <w:ilvl w:val="0"/>
                <w:numId w:val="1"/>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Clasificación y medición de los activos financieros según el modelo de negocio y las características de los flujos contractuales, y deterioro por pérdidas crediticias esperadas conforme a la NIIF 9. (C, P)</w:t>
            </w:r>
          </w:p>
          <w:p w14:paraId="73515C06" w14:textId="77777777" w:rsidR="00EE70B8" w:rsidRDefault="00C15354">
            <w:pPr>
              <w:numPr>
                <w:ilvl w:val="0"/>
                <w:numId w:val="1"/>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Registro y revelación de los instrumentos financieros en concordancia con las Normas Internacionales de Información Financiera. (C, P)</w:t>
            </w:r>
          </w:p>
          <w:p w14:paraId="13443FE1" w14:textId="77777777" w:rsidR="00EE70B8" w:rsidRDefault="00C15354">
            <w:pPr>
              <w:numPr>
                <w:ilvl w:val="0"/>
                <w:numId w:val="1"/>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Bonos verdes, bonos sociales y bonos sostenibles del mercado de valores boliviano y su registro como instrumentos de renta fija. (P, A)</w:t>
            </w:r>
          </w:p>
          <w:p w14:paraId="3C534B38" w14:textId="77777777" w:rsidR="00EE70B8" w:rsidRDefault="00C15354">
            <w:pPr>
              <w:pBdr>
                <w:top w:val="nil"/>
                <w:left w:val="nil"/>
                <w:bottom w:val="nil"/>
                <w:right w:val="nil"/>
                <w:between w:val="nil"/>
              </w:pBdr>
              <w:spacing w:line="240" w:lineRule="auto"/>
              <w:ind w:left="420"/>
              <w:jc w:val="left"/>
              <w:rPr>
                <w:rFonts w:ascii="Century Gothic" w:hAnsi="Century Gothic" w:cs="Century Gothic" w:eastAsia="Century Gothic"/>
                <w:b/>
                <w:bCs/>
                <w:sz w:val="18"/>
                <w:szCs w:val="18"/>
              </w:rPr>
            </w:pPr>
            <w:r>
              <w:rPr>
                <w:rFonts w:ascii="Century Gothic" w:hAnsi="Century Gothic" w:cs="Century Gothic" w:eastAsia="Century Gothic"/>
                <w:b/>
                <w:bCs/>
                <w:sz w:val="18"/>
                <w:szCs w:val="18"/>
              </w:rPr>
              <w:t>Tema 22:</w:t>
            </w:r>
          </w:p>
          <w:p w14:paraId="62796AD3" w14:textId="77777777" w:rsidR="00EE70B8" w:rsidRDefault="00C15354">
            <w:pPr>
              <w:numPr>
                <w:ilvl w:val="0"/>
                <w:numId w:val="1"/>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Concepto de agentes de bolsa; la Bolsa Boliviana de Valores y los agentes de bolsa en Bolivia. (C, A)</w:t>
            </w:r>
          </w:p>
          <w:p w14:paraId="6704056E" w14:textId="77777777" w:rsidR="00EE70B8" w:rsidRDefault="00C15354">
            <w:pPr>
              <w:numPr>
                <w:ilvl w:val="0"/>
                <w:numId w:val="1"/>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Mercado de valores, corredor de bolsa, tipos de valores y participantes del mercado de valores; operatoria contable de los agentes de bolsa. (C, A)</w:t>
            </w:r>
          </w:p>
          <w:p w14:paraId="20513291" w14:textId="77777777" w:rsidR="00EE70B8" w:rsidRDefault="00C15354">
            <w:pPr>
              <w:pBdr>
                <w:top w:val="nil"/>
                <w:left w:val="nil"/>
                <w:bottom w:val="nil"/>
                <w:right w:val="nil"/>
                <w:between w:val="nil"/>
              </w:pBdr>
              <w:spacing w:line="240" w:lineRule="auto"/>
              <w:ind w:left="420"/>
              <w:jc w:val="left"/>
              <w:rPr>
                <w:rFonts w:ascii="Century Gothic" w:hAnsi="Century Gothic" w:cs="Century Gothic" w:eastAsia="Century Gothic"/>
                <w:b/>
                <w:bCs/>
                <w:sz w:val="18"/>
                <w:szCs w:val="18"/>
              </w:rPr>
            </w:pPr>
            <w:r>
              <w:rPr>
                <w:rFonts w:ascii="Century Gothic" w:hAnsi="Century Gothic" w:cs="Century Gothic" w:eastAsia="Century Gothic"/>
                <w:b/>
                <w:bCs/>
                <w:sz w:val="18"/>
                <w:szCs w:val="18"/>
              </w:rPr>
              <w:t>Tema 23:</w:t>
            </w:r>
          </w:p>
          <w:p w14:paraId="660DA3D7" w14:textId="77777777" w:rsidR="00EE70B8" w:rsidRDefault="00C15354">
            <w:pPr>
              <w:numPr>
                <w:ilvl w:val="0"/>
                <w:numId w:val="1"/>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Concepto de las Sociedades Administradoras de Fondos de Inversión (</w:t>
            </w:r>
            <w:proofErr w:type="spellStart"/>
            <w:r>
              <w:rPr>
                <w:rFonts w:ascii="Century Gothic" w:hAnsi="Century Gothic" w:cs="Century Gothic" w:eastAsia="Century Gothic"/>
                <w:sz w:val="18"/>
                <w:szCs w:val="18"/>
              </w:rPr>
              <w:t>SAFIs</w:t>
            </w:r>
            <w:proofErr w:type="spellEnd"/>
            <w:r>
              <w:rPr>
                <w:rFonts w:ascii="Century Gothic" w:hAnsi="Century Gothic" w:cs="Century Gothic" w:eastAsia="Century Gothic"/>
                <w:sz w:val="18"/>
                <w:szCs w:val="18"/>
              </w:rPr>
              <w:t>) y concepto de fondo de inversión; tipos de fondos de inversión. (C)</w:t>
            </w:r>
          </w:p>
          <w:p w14:paraId="34534DAA" w14:textId="77777777" w:rsidR="00EE70B8" w:rsidRDefault="00C15354">
            <w:pPr>
              <w:numPr>
                <w:ilvl w:val="0"/>
                <w:numId w:val="1"/>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 xml:space="preserve">Mercado de </w:t>
            </w:r>
            <w:proofErr w:type="spellStart"/>
            <w:r>
              <w:rPr>
                <w:rFonts w:ascii="Century Gothic" w:hAnsi="Century Gothic" w:cs="Century Gothic" w:eastAsia="Century Gothic"/>
                <w:sz w:val="18"/>
                <w:szCs w:val="18"/>
              </w:rPr>
              <w:t>SAFIs</w:t>
            </w:r>
            <w:proofErr w:type="spellEnd"/>
            <w:r>
              <w:rPr>
                <w:rFonts w:ascii="Century Gothic" w:hAnsi="Century Gothic" w:cs="Century Gothic" w:eastAsia="Century Gothic"/>
                <w:sz w:val="18"/>
                <w:szCs w:val="18"/>
              </w:rPr>
              <w:t xml:space="preserve"> en Bolivia y su operatoria contable. (C)</w:t>
            </w:r>
          </w:p>
          <w:p w14:paraId="7AD7556F" w14:textId="77777777" w:rsidR="00EE70B8" w:rsidRDefault="00C15354">
            <w:pPr>
              <w:numPr>
                <w:ilvl w:val="0"/>
                <w:numId w:val="1"/>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Fondos de inversión abiertos, cerrados y sostenibles del mercado de valores boliviano. (C, A)</w:t>
            </w:r>
          </w:p>
          <w:p w14:paraId="31F58BFF" w14:textId="77777777" w:rsidR="00EE70B8" w:rsidRDefault="00C15354">
            <w:pPr>
              <w:pBdr>
                <w:top w:val="nil"/>
                <w:left w:val="nil"/>
                <w:bottom w:val="nil"/>
                <w:right w:val="nil"/>
                <w:between w:val="nil"/>
              </w:pBdr>
              <w:spacing w:line="240" w:lineRule="auto"/>
              <w:ind w:left="420"/>
              <w:jc w:val="left"/>
              <w:rPr>
                <w:rFonts w:ascii="Century Gothic" w:hAnsi="Century Gothic" w:cs="Century Gothic" w:eastAsia="Century Gothic"/>
                <w:b/>
                <w:bCs/>
                <w:sz w:val="18"/>
                <w:szCs w:val="18"/>
              </w:rPr>
            </w:pPr>
            <w:r>
              <w:rPr>
                <w:rFonts w:ascii="Century Gothic" w:hAnsi="Century Gothic" w:cs="Century Gothic" w:eastAsia="Century Gothic"/>
                <w:b/>
                <w:bCs/>
                <w:sz w:val="18"/>
                <w:szCs w:val="18"/>
              </w:rPr>
              <w:t>Tema 24:</w:t>
            </w:r>
          </w:p>
          <w:p w14:paraId="3408751A" w14:textId="77777777" w:rsidR="00EE70B8" w:rsidRDefault="00C15354">
            <w:pPr>
              <w:numPr>
                <w:ilvl w:val="0"/>
                <w:numId w:val="1"/>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Concepto de leasing o arrendamiento y tipos de leasing. (C)</w:t>
            </w:r>
          </w:p>
          <w:p w14:paraId="43813A84" w14:textId="77777777" w:rsidR="00EE70B8" w:rsidRDefault="00C15354">
            <w:pPr>
              <w:numPr>
                <w:ilvl w:val="0"/>
                <w:numId w:val="1"/>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Diferencia entre el crédito bancario y el leasing; ventajas y desventajas del leasing. (C)</w:t>
            </w:r>
          </w:p>
          <w:p w14:paraId="4FAEAC26" w14:textId="77777777" w:rsidR="00EE70B8" w:rsidRDefault="00C15354">
            <w:pPr>
              <w:numPr>
                <w:ilvl w:val="0"/>
                <w:numId w:val="1"/>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El leasing en el marco de la Ley de Servicios Financieros; operatoria contable del leasing. (C)</w:t>
            </w:r>
          </w:p>
          <w:p w14:paraId="7B0F119B" w14:textId="77777777" w:rsidR="00EE70B8" w:rsidRDefault="00C15354">
            <w:pPr>
              <w:numPr>
                <w:ilvl w:val="0"/>
                <w:numId w:val="1"/>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Tratamiento del arrendamiento financiero conforme a la NIIF 16 y su diferencia con el registro regulatorio del Manual de Cuentas. (P)</w:t>
            </w:r>
          </w:p>
          <w:p w14:paraId="0C23656B" w14:textId="77777777" w:rsidR="00EE70B8" w:rsidRDefault="00C15354">
            <w:pPr>
              <w:pBdr>
                <w:top w:val="nil"/>
                <w:left w:val="nil"/>
                <w:bottom w:val="nil"/>
                <w:right w:val="nil"/>
                <w:between w:val="nil"/>
              </w:pBdr>
              <w:spacing w:line="240" w:lineRule="auto"/>
              <w:ind w:left="420"/>
              <w:jc w:val="left"/>
              <w:rPr>
                <w:rFonts w:ascii="Century Gothic" w:hAnsi="Century Gothic" w:cs="Century Gothic" w:eastAsia="Century Gothic"/>
                <w:b/>
                <w:bCs/>
                <w:sz w:val="18"/>
                <w:szCs w:val="18"/>
              </w:rPr>
            </w:pPr>
            <w:r>
              <w:rPr>
                <w:rFonts w:ascii="Century Gothic" w:hAnsi="Century Gothic" w:cs="Century Gothic" w:eastAsia="Century Gothic"/>
                <w:b/>
                <w:bCs/>
                <w:sz w:val="18"/>
                <w:szCs w:val="18"/>
              </w:rPr>
              <w:t>Tema 25:</w:t>
            </w:r>
          </w:p>
          <w:p w14:paraId="44F661F5" w14:textId="77777777" w:rsidR="00EE70B8" w:rsidRDefault="00C15354">
            <w:pPr>
              <w:numPr>
                <w:ilvl w:val="0"/>
                <w:numId w:val="1"/>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Concepto de las entidades auxiliares financieras: empresas de factoraje, almacenes generales de depósito, burós de información y empresas de transporte de material monetario y de valores. (C, A)</w:t>
            </w:r>
          </w:p>
          <w:p w14:paraId="3B18D4A9" w14:textId="77777777" w:rsidR="00EE70B8" w:rsidRDefault="00C15354">
            <w:pPr>
              <w:numPr>
                <w:ilvl w:val="0"/>
                <w:numId w:val="1"/>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Principales operaciones y constitución de las entidades auxiliares financieras; esquemas contables. (C)</w:t>
            </w:r>
          </w:p>
          <w:p w14:paraId="42A33D5F" w14:textId="77777777" w:rsidR="00EE70B8" w:rsidRDefault="00C15354">
            <w:pPr>
              <w:numPr>
                <w:ilvl w:val="0"/>
                <w:numId w:val="1"/>
              </w:numPr>
              <w:pBdr>
                <w:top w:val="nil"/>
                <w:left w:val="nil"/>
                <w:bottom w:val="nil"/>
                <w:right w:val="nil"/>
                <w:between w:val="nil"/>
              </w:pBdr>
              <w:spacing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Empresas de tecnología financiera y servicios de pago: pasarelas de pago, agregadores y facilitadores. (C)</w:t>
            </w:r>
          </w:p>
        </w:tc>
        <w:tc>
          <w:tcPr>
            <w:tcW w:w="2741"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B764785" w14:textId="77777777" w:rsidR="00EE70B8" w:rsidRDefault="00C15354">
            <w:pPr>
              <w:numPr>
                <w:ilvl w:val="0"/>
                <w:numId w:val="1"/>
              </w:numPr>
              <w:pBdr>
                <w:top w:val="nil"/>
                <w:left w:val="nil"/>
                <w:bottom w:val="nil"/>
                <w:right w:val="nil"/>
                <w:between w:val="nil"/>
              </w:pBdr>
              <w:spacing w:after="8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Nociones de lectura de los boletines de precios y rendimientos de la Bolsa Boliviana de Valores.</w:t>
            </w:r>
          </w:p>
          <w:p w14:paraId="53A28345" w14:textId="77777777" w:rsidR="00EE70B8" w:rsidRDefault="00C15354">
            <w:pPr>
              <w:numPr>
                <w:ilvl w:val="0"/>
                <w:numId w:val="1"/>
              </w:numPr>
              <w:pBdr>
                <w:top w:val="nil"/>
                <w:left w:val="nil"/>
                <w:bottom w:val="nil"/>
                <w:right w:val="nil"/>
                <w:between w:val="nil"/>
              </w:pBdr>
              <w:spacing w:after="8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Nociones del contrato de arrendamiento financiero (leasing).</w:t>
            </w:r>
          </w:p>
          <w:p w14:paraId="1C92D29F" w14:textId="77777777" w:rsidR="00EE70B8" w:rsidRDefault="00C15354">
            <w:pPr>
              <w:numPr>
                <w:ilvl w:val="0"/>
                <w:numId w:val="1"/>
              </w:numPr>
              <w:pBdr>
                <w:top w:val="nil"/>
                <w:left w:val="nil"/>
                <w:bottom w:val="nil"/>
                <w:right w:val="nil"/>
                <w:between w:val="nil"/>
              </w:pBdr>
              <w:spacing w:after="8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Nociones del contrato de factoraje y de la cesión de créditos.</w:t>
            </w:r>
          </w:p>
          <w:p w14:paraId="47A6EE76" w14:textId="77777777" w:rsidR="00EE70B8" w:rsidRDefault="00C15354">
            <w:pPr>
              <w:numPr>
                <w:ilvl w:val="0"/>
                <w:numId w:val="1"/>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Nociones del funcionamiento de los almacenes generales de depósito y de sus títulos representativos de mercaderías.</w:t>
            </w:r>
          </w:p>
        </w:tc>
      </w:tr>
      <w:tr w:rsidR="00EE70B8" w14:paraId="677028DE" w14:textId="77777777">
        <w:tc>
          <w:tcPr>
            <w:tcW w:w="9393" w:type="dxa"/>
            <w:gridSpan w:val="16"/>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0D113021" w14:textId="77777777" w:rsidR="00EE70B8" w:rsidRDefault="00C1535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Actividades</w:t>
            </w:r>
          </w:p>
        </w:tc>
      </w:tr>
      <w:tr w:rsidR="00EE70B8" w14:paraId="580738F2" w14:textId="77777777">
        <w:tc>
          <w:tcPr>
            <w:tcW w:w="195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54DCC668" w14:textId="77777777" w:rsidR="00EE70B8" w:rsidRDefault="00C1535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En clase</w:t>
            </w: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34B463FD" w14:textId="77777777" w:rsidR="00EE70B8" w:rsidRDefault="00C1535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Autónomas</w:t>
            </w:r>
          </w:p>
        </w:tc>
        <w:tc>
          <w:tcPr>
            <w:tcW w:w="1566"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076CC372" w14:textId="77777777" w:rsidR="00EE70B8" w:rsidRDefault="00C1535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B-</w:t>
            </w:r>
            <w:proofErr w:type="spellStart"/>
            <w:r>
              <w:rPr>
                <w:rFonts w:ascii="Century Gothic" w:hAnsi="Century Gothic" w:cs="Century Gothic" w:eastAsia="Century Gothic"/>
                <w:b/>
                <w:bCs/>
                <w:i/>
                <w:iCs/>
                <w:color w:val="FFFFFF"/>
                <w:sz w:val="18"/>
                <w:szCs w:val="18"/>
              </w:rPr>
              <w:t>Learning</w:t>
            </w:r>
            <w:proofErr w:type="spellEnd"/>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72929A6B" w14:textId="77777777" w:rsidR="00EE70B8" w:rsidRDefault="00C1535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Taller</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7D3AE8F0" w14:textId="77777777" w:rsidR="00EE70B8" w:rsidRDefault="00C1535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Investigación/Práctica</w:t>
            </w:r>
          </w:p>
        </w:tc>
      </w:tr>
      <w:tr w:rsidR="00EE70B8" w14:paraId="0CCD4E9C" w14:textId="77777777">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8207C33"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Exposición dialogada de la estructura del Sistema Financiero Nacional y de la normativa de la ASFI.</w:t>
            </w:r>
          </w:p>
          <w:p w14:paraId="014973AB"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Resolución guiada de papeletas contables de disponibilidades, depósitos y cartera.</w:t>
            </w:r>
          </w:p>
          <w:p w14:paraId="79E71101"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Demostración del cálculo del encaje legal y de las previsiones de cartera en hoja de cálculo.</w:t>
            </w:r>
          </w:p>
          <w:p w14:paraId="308441CF"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Análisis de casos de calificación de cartera y de bienes adjudicados de entidades bolivianas.</w:t>
            </w:r>
          </w:p>
          <w:p w14:paraId="5CDD7D89"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Preguntas de comprensión sobre la dinámica de las cuentas del Manual de Cuentas.</w:t>
            </w: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825DAB8"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Resolución de ejercicios de registro contable al cierre de cada tema.</w:t>
            </w:r>
          </w:p>
          <w:p w14:paraId="1F44988A"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Lectura del Manual de Cuentas para Entidades Financieras y de la normativa de la ASFI relacionada con cada tema.</w:t>
            </w:r>
          </w:p>
          <w:p w14:paraId="259CBBDA"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Desarrollo progresivo de un caso práctico integral de una entidad financiera.</w:t>
            </w:r>
          </w:p>
        </w:tc>
        <w:tc>
          <w:tcPr>
            <w:tcW w:w="1566"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8DF6C3F"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Cuestionarios de comprensión de cada operación financiera en la plataforma Moodle UMSA.</w:t>
            </w:r>
          </w:p>
          <w:p w14:paraId="7E485C63"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Foros de consulta sobre el tratamiento contable de la cartera de créditos y de las obligaciones con el público.</w:t>
            </w:r>
          </w:p>
          <w:p w14:paraId="390D4850"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Videotutoriales del cálculo del encaje legal y del Fondo RAL.</w:t>
            </w:r>
          </w:p>
          <w:p w14:paraId="4D9BF2C3"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Cuestionarios sobre la normativa de la Recopilación de Normas para Servicios Financieros en la plataforma Moodle UMSA.</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2BD0A8A"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Resolución colaborativa de casos de apertura y movimiento de cuentas corrientes, cajas de ahorro y depósitos a plazo fijo.</w:t>
            </w:r>
          </w:p>
          <w:p w14:paraId="594A38F5"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Elaboración guiada de la calificación de cartera y de las previsiones de una entidad financiera.</w:t>
            </w:r>
          </w:p>
          <w:p w14:paraId="0F77ED58"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Revisión cruzada de los estados financieros de una entidad financiera entre equipos.</w:t>
            </w:r>
          </w:p>
          <w:p w14:paraId="06D8F063"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Resolución de un caso de debida diligencia del cliente y detección de una operación sospechosa.</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4B8AA7E8"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Análisis de los estados financieros publicados por bancos bolivianos conforme al modelo de la ASFI.</w:t>
            </w:r>
          </w:p>
          <w:p w14:paraId="215853FD"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Revisión de circulares y normativa de la ASFI sobre cartera de créditos y encaje legal.</w:t>
            </w:r>
          </w:p>
          <w:p w14:paraId="549AC92E"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Comparación de la operatoria contable de un banco, una SAFI y una entidad de leasing.</w:t>
            </w:r>
          </w:p>
          <w:p w14:paraId="5124D35C" w14:textId="77777777" w:rsidR="00EE70B8" w:rsidRDefault="00C1535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Revisión de los boletines y reportes de la Autoridad de Supervisión del Sistema Financiero sobre la evolución de la cartera y los depósitos.</w:t>
            </w:r>
          </w:p>
        </w:tc>
      </w:tr>
      <w:tr w:rsidR="00EE70B8" w14:paraId="4060B2F7" w14:textId="77777777">
        <w:tc>
          <w:tcPr>
            <w:tcW w:w="2348"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3B4D7683" w14:textId="77777777" w:rsidR="00EE70B8" w:rsidRDefault="00C15354">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Estrategias de aprendizaje y enseñanza</w:t>
            </w:r>
          </w:p>
        </w:tc>
        <w:tc>
          <w:tcPr>
            <w:tcW w:w="7045" w:type="dxa"/>
            <w:gridSpan w:val="1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5C85024" w14:textId="77777777" w:rsidR="00EE70B8" w:rsidRDefault="00C15354">
            <w:pPr>
              <w:numPr>
                <w:ilvl w:val="0"/>
                <w:numId w:val="6"/>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Aprendizaje basado en problemas con operaciones de bancos y entidades financieras bolivianas.</w:t>
            </w:r>
          </w:p>
          <w:p w14:paraId="10B732AC" w14:textId="77777777" w:rsidR="00EE70B8" w:rsidRDefault="00C15354">
            <w:pPr>
              <w:numPr>
                <w:ilvl w:val="0"/>
                <w:numId w:val="6"/>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Resolución guiada de casos prácticos en orden de dificultad creciente por producto financiero.</w:t>
            </w:r>
          </w:p>
          <w:p w14:paraId="5F1FAFCC" w14:textId="77777777" w:rsidR="00EE70B8" w:rsidRDefault="00C15354">
            <w:pPr>
              <w:numPr>
                <w:ilvl w:val="0"/>
                <w:numId w:val="6"/>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Caso práctico integral que recorre las operaciones de una entidad financiera hasta sus estados financieros.</w:t>
            </w:r>
          </w:p>
          <w:p w14:paraId="5DA8119B" w14:textId="77777777" w:rsidR="00EE70B8" w:rsidRDefault="00C15354">
            <w:pPr>
              <w:numPr>
                <w:ilvl w:val="0"/>
                <w:numId w:val="6"/>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Estudio de casos de entidades financieras reales del sistema boliviano.</w:t>
            </w:r>
          </w:p>
          <w:p w14:paraId="13B841C0" w14:textId="77777777" w:rsidR="00EE70B8" w:rsidRDefault="00C15354">
            <w:pPr>
              <w:numPr>
                <w:ilvl w:val="0"/>
                <w:numId w:val="6"/>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Trabajo colaborativo en equipos de análisis y resolución de casos normativos.</w:t>
            </w:r>
          </w:p>
          <w:p w14:paraId="1EBF1F72" w14:textId="77777777" w:rsidR="00EE70B8" w:rsidRDefault="00C15354">
            <w:pPr>
              <w:numPr>
                <w:ilvl w:val="0"/>
                <w:numId w:val="6"/>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Clase invertida para los contenidos introductorios y normativos de cada capítulo.</w:t>
            </w:r>
          </w:p>
          <w:p w14:paraId="252610D6" w14:textId="77777777" w:rsidR="00EE70B8" w:rsidRDefault="00C15354">
            <w:pPr>
              <w:numPr>
                <w:ilvl w:val="0"/>
                <w:numId w:val="6"/>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Análisis crítico de los indicadores de una entidad financiera antes de emitir una conclusión sobre su situación.</w:t>
            </w:r>
          </w:p>
        </w:tc>
      </w:tr>
      <w:tr w:rsidR="00EE70B8" w14:paraId="5D2769B4" w14:textId="77777777">
        <w:tc>
          <w:tcPr>
            <w:tcW w:w="2348"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58BE83AC" w14:textId="77777777" w:rsidR="00EE70B8" w:rsidRDefault="00C15354">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Recursos para el aprendizaje</w:t>
            </w:r>
          </w:p>
        </w:tc>
        <w:tc>
          <w:tcPr>
            <w:tcW w:w="7045" w:type="dxa"/>
            <w:gridSpan w:val="1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FCE4470" w14:textId="77777777" w:rsidR="00EE70B8" w:rsidRDefault="00C15354">
            <w:pPr>
              <w:numPr>
                <w:ilvl w:val="0"/>
                <w:numId w:val="6"/>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Plataforma Moodle UMSA.</w:t>
            </w:r>
          </w:p>
          <w:p w14:paraId="47244631" w14:textId="77777777" w:rsidR="00EE70B8" w:rsidRDefault="00C15354">
            <w:pPr>
              <w:numPr>
                <w:ilvl w:val="0"/>
                <w:numId w:val="6"/>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Manual de Cuentas para Entidades Financieras y Recopilación de Normas para Servicios Financieros de la ASFI.</w:t>
            </w:r>
          </w:p>
          <w:p w14:paraId="55A5A6E8" w14:textId="77777777" w:rsidR="00EE70B8" w:rsidRDefault="00C15354">
            <w:pPr>
              <w:numPr>
                <w:ilvl w:val="0"/>
                <w:numId w:val="6"/>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Compendio de Normas de Contabilidad y Auditoría del CAUB.</w:t>
            </w:r>
          </w:p>
          <w:p w14:paraId="4F00FBB4" w14:textId="77777777" w:rsidR="00EE70B8" w:rsidRDefault="00C15354">
            <w:pPr>
              <w:numPr>
                <w:ilvl w:val="0"/>
                <w:numId w:val="6"/>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Hoja de cálculo para la resolución de casos prácticos de cartera, encaje legal e intereses.</w:t>
            </w:r>
          </w:p>
          <w:p w14:paraId="73C51808" w14:textId="77777777" w:rsidR="00EE70B8" w:rsidRDefault="00C15354">
            <w:pPr>
              <w:numPr>
                <w:ilvl w:val="0"/>
                <w:numId w:val="6"/>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Guías de ejercicios y casos elaborados por la cátedra.</w:t>
            </w:r>
          </w:p>
          <w:p w14:paraId="6B37DD78" w14:textId="77777777" w:rsidR="00EE70B8" w:rsidRDefault="00C15354">
            <w:pPr>
              <w:numPr>
                <w:ilvl w:val="0"/>
                <w:numId w:val="6"/>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Recopilación de Normas para Servicios Financieros y Manual de Cuentas para Entidades Financieras de la ASFI.</w:t>
            </w:r>
          </w:p>
          <w:p w14:paraId="59383A74" w14:textId="77777777" w:rsidR="00EE70B8" w:rsidRDefault="00C15354">
            <w:pPr>
              <w:numPr>
                <w:ilvl w:val="0"/>
                <w:numId w:val="6"/>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Hoja de cálculo para el cálculo de intereses, encaje legal y previsiones de cartera.</w:t>
            </w:r>
          </w:p>
        </w:tc>
      </w:tr>
      <w:tr w:rsidR="00EE70B8" w14:paraId="576FED80" w14:textId="77777777">
        <w:tc>
          <w:tcPr>
            <w:tcW w:w="2348"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4C0EF801" w14:textId="77777777" w:rsidR="00EE70B8" w:rsidRDefault="00C15354">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Estrategias de evaluación</w:t>
            </w:r>
          </w:p>
        </w:tc>
        <w:tc>
          <w:tcPr>
            <w:tcW w:w="7045" w:type="dxa"/>
            <w:gridSpan w:val="1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54D217E" w14:textId="77777777" w:rsidR="00EE70B8" w:rsidRDefault="00C15354">
            <w:pPr>
              <w:numPr>
                <w:ilvl w:val="0"/>
                <w:numId w:val="6"/>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Evaluación diagnóstica: prueba inicial sobre los conocimientos previos de contabilidad intermedia, contabilidad de sociedades y contabilidad de tributos.</w:t>
            </w:r>
          </w:p>
          <w:p w14:paraId="2B0AC487" w14:textId="77777777" w:rsidR="00EE70B8" w:rsidRDefault="00C15354">
            <w:pPr>
              <w:numPr>
                <w:ilvl w:val="0"/>
                <w:numId w:val="6"/>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Evaluación formativa: preguntas de comprensión y desarrollo de ejercicios prácticos en el aula, con retroalimentación continua, autoevaluación y coevaluación.</w:t>
            </w:r>
          </w:p>
          <w:p w14:paraId="57223C4B" w14:textId="77777777" w:rsidR="00EE70B8" w:rsidRDefault="00C15354">
            <w:pPr>
              <w:numPr>
                <w:ilvl w:val="0"/>
                <w:numId w:val="6"/>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Evaluación sumativa: controles de lectura y asistencia, evaluación de casos prácticos, trabajos de investigación y desarrollo, exámenes parciales y examen final.</w:t>
            </w:r>
          </w:p>
        </w:tc>
      </w:tr>
      <w:tr w:rsidR="00EE70B8" w14:paraId="4CA3DB1C" w14:textId="77777777">
        <w:tc>
          <w:tcPr>
            <w:tcW w:w="2348"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7BF722AF" w14:textId="77777777" w:rsidR="00EE70B8" w:rsidRDefault="00C15354">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Criterios de calificación</w:t>
            </w:r>
          </w:p>
        </w:tc>
        <w:tc>
          <w:tcPr>
            <w:tcW w:w="7045" w:type="dxa"/>
            <w:gridSpan w:val="1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2FA95F3" w14:textId="77777777" w:rsidR="00EE70B8" w:rsidRDefault="00C15354">
            <w:pPr>
              <w:numPr>
                <w:ilvl w:val="0"/>
                <w:numId w:val="6"/>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Nota mínima de aprobación: 51/100.</w:t>
            </w:r>
          </w:p>
          <w:p w14:paraId="72576736" w14:textId="77777777" w:rsidR="00EE70B8" w:rsidRDefault="00C15354">
            <w:pPr>
              <w:numPr>
                <w:ilvl w:val="0"/>
                <w:numId w:val="6"/>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Evaluación periódica al finalizar cada tema, basada en evidencias de conocimiento, desempeño y producto.</w:t>
            </w:r>
          </w:p>
          <w:p w14:paraId="1E1F7DF4" w14:textId="77777777" w:rsidR="00EE70B8" w:rsidRDefault="00C15354">
            <w:pPr>
              <w:numPr>
                <w:ilvl w:val="0"/>
                <w:numId w:val="6"/>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Cada evidencia de producto se evalúa con su propia rúbrica de tres niveles: Insuficiente, Suficiente y Destacado.</w:t>
            </w:r>
          </w:p>
          <w:p w14:paraId="392FAC85" w14:textId="77777777" w:rsidR="00EE70B8" w:rsidRDefault="00C15354">
            <w:pPr>
              <w:numPr>
                <w:ilvl w:val="0"/>
                <w:numId w:val="6"/>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La calificación de cada elemento de competencia suma las calificaciones de sus evidencias de producto.</w:t>
            </w:r>
          </w:p>
          <w:p w14:paraId="74FA2A9A" w14:textId="77777777" w:rsidR="00EE70B8" w:rsidRDefault="00C15354">
            <w:pPr>
              <w:numPr>
                <w:ilvl w:val="0"/>
                <w:numId w:val="6"/>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Distribución de la calificación por elemento de competencia: Elemento 1, 20 %; Elemento 2, 35 %; Elemento 3, 35 %; Elemento 4, 10 %.</w:t>
            </w:r>
          </w:p>
          <w:p w14:paraId="3C41504E" w14:textId="77777777" w:rsidR="00EE70B8" w:rsidRDefault="00C15354">
            <w:pPr>
              <w:numPr>
                <w:ilvl w:val="0"/>
                <w:numId w:val="6"/>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Dentro de cada elemento, los productos prácticos tienen mayor peso que los teóricos.</w:t>
            </w:r>
          </w:p>
          <w:p w14:paraId="30B28BA4" w14:textId="77777777" w:rsidR="00EE70B8" w:rsidRDefault="00C15354">
            <w:pPr>
              <w:numPr>
                <w:ilvl w:val="0"/>
                <w:numId w:val="6"/>
              </w:numPr>
              <w:pBdr>
                <w:top w:val="nil"/>
                <w:left w:val="nil"/>
                <w:bottom w:val="nil"/>
                <w:right w:val="nil"/>
                <w:between w:val="nil"/>
              </w:pBdr>
              <w:spacing w:before="10" w:after="10" w:line="240" w:lineRule="auto"/>
              <w:jc w:val="left"/>
              <w:rPr>
                <w:rFonts w:ascii="Century Gothic" w:hAnsi="Century Gothic" w:cs="Century Gothic" w:eastAsia="Century Gothic"/>
                <w:sz w:val="18"/>
                <w:szCs w:val="18"/>
              </w:rPr>
            </w:pPr>
            <w:r>
              <w:rPr>
                <w:rFonts w:ascii="Century Gothic" w:hAnsi="Century Gothic" w:cs="Century Gothic" w:eastAsia="Century Gothic"/>
                <w:sz w:val="18"/>
                <w:szCs w:val="18"/>
              </w:rPr>
              <w:t>La nota de cada producto (1–100) se multiplica por su peso porcentual; la suma de los 16 productos da la nota final sobre 100.</w:t>
            </w:r>
          </w:p>
        </w:tc>
      </w:tr>
      <w:tr w:rsidR="00EE70B8" w14:paraId="760508D0" w14:textId="77777777">
        <w:trPr/>
        <w:tc>
          <w:tcPr>
            <w:tcW w:w="1566" w:type="dxa"/>
            <w:gridSpan w:val="2"/>
            <w:vMerge w:val="restart"/>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4519946B" w14:textId="77777777" w:rsidR="00EE70B8" w:rsidRDefault="00C15354">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Niveles de logro y distribución de la calificación</w:t>
            </w:r>
          </w:p>
        </w:tc>
        <w:tc>
          <w:tcPr>
            <w:tcW w:w="6260" w:type="dxa"/>
            <w:gridSpan w:val="1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15F9F26" w14:textId="77777777" w:rsidR="00EE70B8" w:rsidRPr="00C15354" w:rsidRDefault="00C15354">
            <w:pPr>
              <w:spacing w:before="20" w:after="20" w:line="240" w:lineRule="auto"/>
              <w:jc w:val="center"/>
              <w:rPr>
                <w:rFonts w:ascii="Century Gothic" w:hAnsi="Century Gothic" w:cs="Century Gothic" w:eastAsia="Century Gothic"/>
                <w:sz w:val="18"/>
                <w:szCs w:val="18"/>
              </w:rPr>
            </w:pPr>
            <w:r w:rsidRPr="00C15354">
              <w:rPr>
                <w:rFonts w:ascii="Century Gothic" w:hAnsi="Century Gothic" w:cs="Century Gothic" w:eastAsia="Century Gothic"/>
                <w:b/>
                <w:bCs/>
                <w:i/>
                <w:iCs/>
                <w:sz w:val="18"/>
                <w:szCs w:val="18"/>
              </w:rPr>
              <w:t xml:space="preserve">Producto 1: </w:t>
            </w:r>
            <w:r w:rsidRPr="00C15354">
              <w:rPr>
                <w:rFonts w:ascii="Century Gothic" w:hAnsi="Century Gothic" w:cs="Century Gothic" w:eastAsia="Century Gothic"/>
                <w:sz w:val="18"/>
                <w:szCs w:val="18"/>
              </w:rPr>
              <w:t>Esquema del sistema financiero boliviano y de la constitución de una entidad financiera según la normativa aplicable de la ASFI</w:t>
            </w:r>
          </w:p>
        </w:tc>
        <w:tc>
          <w:tcPr>
            <w:tcW w:w="1567" w:type="dxa"/>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4C6912DA"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color w:val="FFFFFF"/>
                <w:sz w:val="18"/>
                <w:szCs w:val="18"/>
              </w:rPr>
              <w:t>Peso: 3%</w:t>
            </w:r>
          </w:p>
        </w:tc>
      </w:tr>
      <w:tr w:rsidR="00EE70B8" w14:paraId="27997FFE"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A301424"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6181773A" w14:textId="77777777" w:rsidR="00EE70B8" w:rsidRDefault="00C15354">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Criterio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3EC7D738"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Insuficiente (1–50)</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13984F72"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Suficiente (51–80)</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552C828F"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Destacado (81–100)</w:t>
            </w:r>
          </w:p>
        </w:tc>
      </w:tr>
      <w:tr w:rsidR="00EE70B8" w14:paraId="1F44D144"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46CFF729"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349A91A"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Estructura del sistema financiero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BE90FAE"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Describe las instituciones y los elementos del sistema financiero de forma incompleta o con errores conceptuales.</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70B59C2"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Describe las instituciones y los elementos del sistema financiero con las ideas principales y errores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97F2F41"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Describe las instituciones y los elementos del sistema financiero de forma completa, precisa y con sustento normativo.</w:t>
            </w:r>
          </w:p>
        </w:tc>
      </w:tr>
      <w:tr w:rsidR="00EE70B8" w14:paraId="56AD007D"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E1CF2E6"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79F2930"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Constitución según la normativa de la ASFI</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FFBE2CB"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Describe los requisitos, el capital mínimo y la licencia de funcionamiento de forma incompleta o con errores conceptuales.</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D383CBF"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Describe los requisitos, el capital mínimo y la licencia de funcionamiento con las ideas principales y errores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17F2B4E"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Describe los requisitos, el capital mínimo y la licencia de funcionamiento de forma completa, precisa y con sustento normativo.</w:t>
            </w:r>
          </w:p>
        </w:tc>
      </w:tr>
      <w:tr w:rsidR="00EE70B8" w14:paraId="71D473A8"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45F89B3E"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D687F93"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Claridad y presentación</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CF31360"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Presentación desordenada o con errores ortográficos frecuentes.</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43B3625"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Presentación ordenada y comprensible, con omisiones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E991557"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Presentación clara, jerárquica y sin errores ortográficos.</w:t>
            </w:r>
          </w:p>
        </w:tc>
      </w:tr>
      <w:tr w:rsidR="00EE70B8" w14:paraId="17318EC5"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E65F80D"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6260" w:type="dxa"/>
            <w:gridSpan w:val="1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8EA0D06" w14:textId="77777777" w:rsidR="00EE70B8" w:rsidRPr="00C15354" w:rsidRDefault="00C15354">
            <w:pPr>
              <w:spacing w:before="20" w:after="20" w:line="240" w:lineRule="auto"/>
              <w:jc w:val="center"/>
              <w:rPr>
                <w:rFonts w:ascii="Century Gothic" w:hAnsi="Century Gothic" w:cs="Century Gothic" w:eastAsia="Century Gothic"/>
                <w:sz w:val="18"/>
                <w:szCs w:val="18"/>
              </w:rPr>
            </w:pPr>
            <w:r w:rsidRPr="00C15354">
              <w:rPr>
                <w:rFonts w:ascii="Century Gothic" w:hAnsi="Century Gothic" w:cs="Century Gothic" w:eastAsia="Century Gothic"/>
                <w:b/>
                <w:bCs/>
                <w:i/>
                <w:iCs/>
                <w:sz w:val="18"/>
                <w:szCs w:val="18"/>
              </w:rPr>
              <w:t xml:space="preserve">Producto 2: </w:t>
            </w:r>
            <w:r w:rsidRPr="00C15354">
              <w:rPr>
                <w:rFonts w:ascii="Century Gothic" w:hAnsi="Century Gothic" w:cs="Century Gothic" w:eastAsia="Century Gothic"/>
                <w:sz w:val="18"/>
                <w:szCs w:val="18"/>
              </w:rPr>
              <w:t>Exposición en los estados financieros de los diferentes rubros expuestos en los manuales de la ASFI</w:t>
            </w:r>
          </w:p>
        </w:tc>
        <w:tc>
          <w:tcPr>
            <w:tcW w:w="1567" w:type="dxa"/>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36027439"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color w:val="FFFFFF"/>
                <w:sz w:val="18"/>
                <w:szCs w:val="18"/>
              </w:rPr>
              <w:t>Peso: 5%</w:t>
            </w:r>
          </w:p>
        </w:tc>
      </w:tr>
      <w:tr w:rsidR="00EE70B8" w14:paraId="0557D4A2"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33EC9CC"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7AD073B8"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Criterio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29F4472A"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Insuficiente (1–50)</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1B5AF0B3"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Suficiente (51–80)</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0AD0BFB9"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Destacado (81–100)</w:t>
            </w:r>
          </w:p>
        </w:tc>
      </w:tr>
      <w:tr w:rsidR="00EE70B8" w14:paraId="1F690A88"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584F5B7"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8D31D10"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Aplicación del Manual de Cuentas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460EAF67"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Clasifica incorrectamente varias cuentas en sus grupos y subcuentas.</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C6BCBEC"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Clasifica las cuentas en sus grupos con errores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E7AFDD8"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Clasifica todas las cuentas correctamente según el Manual de Cuentas de la ASFI.</w:t>
            </w:r>
          </w:p>
        </w:tc>
      </w:tr>
      <w:tr w:rsidR="00EE70B8" w14:paraId="418E4A28"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BC5CCB0"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E4A4825"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Valuación de activos y pasivos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2BE5C80"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El cálculo de la valuación de activos y pasivos en moneda nacional y extranjera es incorrecto o está incompleto.</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BEF8904"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Calcula la valuación de activos y pasivos en moneda nacional y extranjera con diferencias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F685B95"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Calcula la valuación de activos y pasivos en moneda nacional y extranjera con exactitud y explica el procedimiento.</w:t>
            </w:r>
          </w:p>
        </w:tc>
      </w:tr>
      <w:tr w:rsidR="00EE70B8" w14:paraId="0F5C97A7"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ABFB102"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6F65059"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Exposición en los estados financieros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2755021"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No expone las operaciones o las expone con errores graves.</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498FEE1C"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Expone las operaciones en los estados financieros con errores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1AE8622"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Expone todas las operaciones correctamente, con saldos que cuadran.</w:t>
            </w:r>
          </w:p>
        </w:tc>
      </w:tr>
      <w:tr w:rsidR="00EE70B8" w14:paraId="3269C582"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E329837"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6260" w:type="dxa"/>
            <w:gridSpan w:val="1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60658D0" w14:textId="77777777" w:rsidR="00EE70B8" w:rsidRPr="00C15354" w:rsidRDefault="00C15354">
            <w:pPr>
              <w:spacing w:before="20" w:after="20" w:line="240" w:lineRule="auto"/>
              <w:jc w:val="center"/>
              <w:rPr>
                <w:rFonts w:ascii="Century Gothic" w:hAnsi="Century Gothic" w:cs="Century Gothic" w:eastAsia="Century Gothic"/>
                <w:sz w:val="18"/>
                <w:szCs w:val="18"/>
              </w:rPr>
            </w:pPr>
            <w:r w:rsidRPr="00C15354">
              <w:rPr>
                <w:rFonts w:ascii="Century Gothic" w:hAnsi="Century Gothic" w:cs="Century Gothic" w:eastAsia="Century Gothic"/>
                <w:b/>
                <w:bCs/>
                <w:i/>
                <w:iCs/>
                <w:sz w:val="18"/>
                <w:szCs w:val="18"/>
              </w:rPr>
              <w:t xml:space="preserve">Producto 3: </w:t>
            </w:r>
            <w:r w:rsidRPr="00C15354">
              <w:rPr>
                <w:rFonts w:ascii="Century Gothic" w:hAnsi="Century Gothic" w:cs="Century Gothic" w:eastAsia="Century Gothic"/>
                <w:sz w:val="18"/>
                <w:szCs w:val="18"/>
              </w:rPr>
              <w:t>Práctica de disponibilidades con su respectiva exposición en los estados financieros</w:t>
            </w:r>
          </w:p>
        </w:tc>
        <w:tc>
          <w:tcPr>
            <w:tcW w:w="1567" w:type="dxa"/>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5C89ED84"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color w:val="FFFFFF"/>
                <w:sz w:val="18"/>
                <w:szCs w:val="18"/>
              </w:rPr>
              <w:t>Peso: 6%</w:t>
            </w:r>
          </w:p>
        </w:tc>
      </w:tr>
      <w:tr w:rsidR="00EE70B8" w14:paraId="0FF98C29"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ECADCED"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678A3BA0"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Criterio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3D1E4690"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Insuficiente (1–50)</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4D85C932"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Suficiente (51–80)</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20845690"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Destacado (81–100)</w:t>
            </w:r>
          </w:p>
        </w:tc>
      </w:tr>
      <w:tr w:rsidR="00EE70B8" w14:paraId="449CF045"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382BD0F"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99BE32E"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Registro de papeletas contables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C6749EE"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Omite operaciones o registra incorrectamente las operaciones de disponibilidades.</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18C10CB"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Registra las operaciones de disponibilidades con errores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56D13CA"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Registra las operaciones de disponibilidades correctamente, con asientos y respaldos completos.</w:t>
            </w:r>
          </w:p>
        </w:tc>
      </w:tr>
      <w:tr w:rsidR="00EE70B8" w14:paraId="3D1406A2"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3BA5045"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DA652AA"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Faltantes, sobrantes y saldos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0BE174D"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No regulariza los faltantes y sobrantes o interpreta mal los saldos.</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790D31D"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Regulariza los faltantes y sobrantes e interpreta los saldos con errores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A000031"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Regulariza correctamente y explica el saldo de cada cuenta de disponibilidades.</w:t>
            </w:r>
          </w:p>
        </w:tc>
      </w:tr>
      <w:tr w:rsidR="00EE70B8" w14:paraId="0CCE489B"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444F3C7C"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ED02D66"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Exposición en los estados financieros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36A7F6B"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No expone las operaciones o las expone con errores graves.</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7A6EBC9"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Expone las operaciones en los estados financieros con errores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49B05589"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Expone todas las operaciones correctamente, con saldos que cuadran.</w:t>
            </w:r>
          </w:p>
        </w:tc>
      </w:tr>
      <w:tr w:rsidR="00EE70B8" w14:paraId="6548C193"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0C421FF"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6260" w:type="dxa"/>
            <w:gridSpan w:val="1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F591C9C" w14:textId="77777777" w:rsidR="00EE70B8" w:rsidRPr="00C15354" w:rsidRDefault="00C15354">
            <w:pPr>
              <w:spacing w:before="20" w:after="20" w:line="240" w:lineRule="auto"/>
              <w:jc w:val="center"/>
              <w:rPr>
                <w:rFonts w:ascii="Century Gothic" w:hAnsi="Century Gothic" w:cs="Century Gothic" w:eastAsia="Century Gothic"/>
                <w:sz w:val="18"/>
                <w:szCs w:val="18"/>
              </w:rPr>
            </w:pPr>
            <w:r w:rsidRPr="00C15354">
              <w:rPr>
                <w:rFonts w:ascii="Century Gothic" w:hAnsi="Century Gothic" w:cs="Century Gothic" w:eastAsia="Century Gothic"/>
                <w:b/>
                <w:bCs/>
                <w:i/>
                <w:iCs/>
                <w:sz w:val="18"/>
                <w:szCs w:val="18"/>
              </w:rPr>
              <w:t xml:space="preserve">Producto 4: </w:t>
            </w:r>
            <w:r w:rsidRPr="00C15354">
              <w:rPr>
                <w:rFonts w:ascii="Century Gothic" w:hAnsi="Century Gothic" w:cs="Century Gothic" w:eastAsia="Century Gothic"/>
                <w:sz w:val="18"/>
                <w:szCs w:val="18"/>
              </w:rPr>
              <w:t>Práctica de registros de la cámara de compensación con tablas y cuadros, y su exposición en los estados financieros</w:t>
            </w:r>
          </w:p>
        </w:tc>
        <w:tc>
          <w:tcPr>
            <w:tcW w:w="1567" w:type="dxa"/>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78AB78DD"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color w:val="FFFFFF"/>
                <w:sz w:val="18"/>
                <w:szCs w:val="18"/>
              </w:rPr>
              <w:t>Peso: 6%</w:t>
            </w:r>
          </w:p>
        </w:tc>
      </w:tr>
      <w:tr w:rsidR="00EE70B8" w14:paraId="7F88C437"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3371805"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63A135B5"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Criterio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3A963BF1"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Insuficiente (1–50)</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30866890"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Suficiente (51–80)</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2F663840"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Destacado (81–100)</w:t>
            </w:r>
          </w:p>
        </w:tc>
      </w:tr>
      <w:tr w:rsidR="00EE70B8" w14:paraId="56E068D2"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CDC716F"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FF8881D"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Registros de la primera y segunda cámara</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C8AA3BE"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Omite operaciones o registra incorrectamente los cheques de la primera y de la segunda cámara de compensación.</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DB87661"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Registra los cheques de la primera y de la segunda cámara de compensación con errores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8A25696"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Registra los cheques de la primera y de la segunda cámara de compensación correctamente, con asientos y respaldos completos.</w:t>
            </w:r>
          </w:p>
        </w:tc>
      </w:tr>
      <w:tr w:rsidR="00EE70B8" w14:paraId="09399D00"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A222032"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A3A0B30"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Tablas y cuadros de la cámara</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FCBEF00"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Tablas incompletas o con saldos que no cuadran.</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D9CC689"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Tablas completas, con diferencias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2797993"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Tablas y cuadros completos, que cuadran y se explican.</w:t>
            </w:r>
          </w:p>
        </w:tc>
      </w:tr>
      <w:tr w:rsidR="00EE70B8" w14:paraId="531BD353"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248BD02"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B879C15"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Exposición en los estados financieros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C7B9C36"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No expone las operaciones o las expone con errores graves.</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D24B19E"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Expone las operaciones en los estados financieros con errores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3BEA063"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Expone todas las operaciones correctamente, con saldos que cuadran.</w:t>
            </w:r>
          </w:p>
        </w:tc>
      </w:tr>
      <w:tr w:rsidR="00EE70B8" w14:paraId="12EC624C"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D86FD6D"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6260" w:type="dxa"/>
            <w:gridSpan w:val="1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EB53C7A" w14:textId="77777777" w:rsidR="00EE70B8" w:rsidRPr="00C15354" w:rsidRDefault="00C15354">
            <w:pPr>
              <w:spacing w:before="20" w:after="20" w:line="240" w:lineRule="auto"/>
              <w:jc w:val="center"/>
              <w:rPr>
                <w:rFonts w:ascii="Century Gothic" w:hAnsi="Century Gothic" w:cs="Century Gothic" w:eastAsia="Century Gothic"/>
                <w:sz w:val="18"/>
                <w:szCs w:val="18"/>
              </w:rPr>
            </w:pPr>
            <w:r w:rsidRPr="00C15354">
              <w:rPr>
                <w:rFonts w:ascii="Century Gothic" w:hAnsi="Century Gothic" w:cs="Century Gothic" w:eastAsia="Century Gothic"/>
                <w:b/>
                <w:bCs/>
                <w:i/>
                <w:iCs/>
                <w:sz w:val="18"/>
                <w:szCs w:val="18"/>
              </w:rPr>
              <w:t xml:space="preserve">Producto 5: </w:t>
            </w:r>
            <w:r w:rsidRPr="00C15354">
              <w:rPr>
                <w:rFonts w:ascii="Century Gothic" w:hAnsi="Century Gothic" w:cs="Century Gothic" w:eastAsia="Century Gothic"/>
                <w:sz w:val="18"/>
                <w:szCs w:val="18"/>
              </w:rPr>
              <w:t>Movimiento contable de los depósitos en cuenta corriente en un caso práctico y su exposición en los estados financieros</w:t>
            </w:r>
          </w:p>
        </w:tc>
        <w:tc>
          <w:tcPr>
            <w:tcW w:w="1567" w:type="dxa"/>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39DDF428"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color w:val="FFFFFF"/>
                <w:sz w:val="18"/>
                <w:szCs w:val="18"/>
              </w:rPr>
              <w:t>Peso: 9%</w:t>
            </w:r>
          </w:p>
        </w:tc>
      </w:tr>
      <w:tr w:rsidR="00EE70B8" w14:paraId="2B2107A5"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183C731"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077D6484"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Criterio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7085DAE4"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Insuficiente (1–50)</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5A2B4CD8"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Suficiente (51–80)</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4A2FE996"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Destacado (81–100)</w:t>
            </w:r>
          </w:p>
        </w:tc>
      </w:tr>
      <w:tr w:rsidR="00EE70B8" w14:paraId="47FC9B43"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D2F0ADA"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0C012BC"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Apertura, movimiento y clausura</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39B58FD"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Omite operaciones o registra incorrectamente la apertura, el movimiento y la clausura de la cuenta corriente.</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9B1BF92"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Registra la apertura, el movimiento y la clausura de la cuenta corriente con errores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30F2B4B"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Registra la apertura, el movimiento y la clausura de la cuenta corriente correctamente, con asientos y respaldos completos.</w:t>
            </w:r>
          </w:p>
        </w:tc>
      </w:tr>
      <w:tr w:rsidR="00EE70B8" w14:paraId="6668CCE1"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40DD29F7"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F9FAD49"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Cálculo de saldos y cierre</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BC7D171"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El cálculo de los saldos y el cierre de la cuenta corriente es incorrecto o está incompleto.</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BBAA2B6"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Calcula los saldos y el cierre de la cuenta corriente con diferencias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200DE9C"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Calcula los saldos y el cierre de la cuenta corriente con exactitud y explica el procedimiento.</w:t>
            </w:r>
          </w:p>
        </w:tc>
      </w:tr>
      <w:tr w:rsidR="00EE70B8" w14:paraId="734DBC91"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D88B525"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09A2B60"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Exposición en los estados financieros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57EE109"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No expone las operaciones o las expone con errores graves.</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F8BE3F8"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Expone las operaciones en los estados financieros con errores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4B588CB"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Expone todas las operaciones correctamente, con saldos que cuadran.</w:t>
            </w:r>
          </w:p>
        </w:tc>
      </w:tr>
      <w:tr w:rsidR="00EE70B8" w14:paraId="30915C0D"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8480B61"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6260" w:type="dxa"/>
            <w:gridSpan w:val="1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4EE92FBA" w14:textId="77777777" w:rsidR="00EE70B8" w:rsidRPr="00C15354" w:rsidRDefault="00C15354">
            <w:pPr>
              <w:spacing w:before="20" w:after="20" w:line="240" w:lineRule="auto"/>
              <w:jc w:val="center"/>
              <w:rPr>
                <w:rFonts w:ascii="Century Gothic" w:hAnsi="Century Gothic" w:cs="Century Gothic" w:eastAsia="Century Gothic"/>
                <w:sz w:val="18"/>
                <w:szCs w:val="18"/>
              </w:rPr>
            </w:pPr>
            <w:r w:rsidRPr="00C15354">
              <w:rPr>
                <w:rFonts w:ascii="Century Gothic" w:hAnsi="Century Gothic" w:cs="Century Gothic" w:eastAsia="Century Gothic"/>
                <w:b/>
                <w:bCs/>
                <w:i/>
                <w:iCs/>
                <w:sz w:val="18"/>
                <w:szCs w:val="18"/>
              </w:rPr>
              <w:t xml:space="preserve">Producto 6: </w:t>
            </w:r>
            <w:r w:rsidRPr="00C15354">
              <w:rPr>
                <w:rFonts w:ascii="Century Gothic" w:hAnsi="Century Gothic" w:cs="Century Gothic" w:eastAsia="Century Gothic"/>
                <w:sz w:val="18"/>
                <w:szCs w:val="18"/>
              </w:rPr>
              <w:t>Movimiento contable de los depósitos en caja de ahorro en un caso práctico y su exposición en los estados financieros</w:t>
            </w:r>
          </w:p>
        </w:tc>
        <w:tc>
          <w:tcPr>
            <w:tcW w:w="1567" w:type="dxa"/>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62D8C1D8"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color w:val="FFFFFF"/>
                <w:sz w:val="18"/>
                <w:szCs w:val="18"/>
              </w:rPr>
              <w:t>Peso: 8%</w:t>
            </w:r>
          </w:p>
        </w:tc>
      </w:tr>
      <w:tr w:rsidR="00EE70B8" w14:paraId="0AAB2654"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3853DBB"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399E1510"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Criterio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009AD065"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Insuficiente (1–50)</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4E397467"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Suficiente (51–80)</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0D3378BA"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Destacado (81–100)</w:t>
            </w:r>
          </w:p>
        </w:tc>
      </w:tr>
      <w:tr w:rsidR="00EE70B8" w14:paraId="6CA4C10D"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2EA252D"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4BA1262F"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Apertura, movimiento y clausura</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042B610"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Omite operaciones o registra incorrectamente la apertura, el movimiento y la clausura de la caja de ahorro.</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A4F4740"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Registra la apertura, el movimiento y la clausura de la caja de ahorro con errores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E6D2802"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Registra la apertura, el movimiento y la clausura de la caja de ahorro correctamente, con asientos y respaldos completos.</w:t>
            </w:r>
          </w:p>
        </w:tc>
      </w:tr>
      <w:tr w:rsidR="00EE70B8" w14:paraId="1673C586"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78F0A89"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593D229"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Cálculo de intereses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2F21EB2"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El cálculo de los intereses de la caja de ahorro es incorrecto o está incompleto.</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D908E84"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Calcula los intereses de la caja de ahorro con diferencias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DB867D3"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Calcula los intereses de la caja de ahorro con exactitud y explica el procedimiento.</w:t>
            </w:r>
          </w:p>
        </w:tc>
      </w:tr>
      <w:tr w:rsidR="00EE70B8" w14:paraId="5150B1F8"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26D5E2C"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8C2BC89"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Exposición en los estados financieros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1C7CC08"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No expone las operaciones o las expone con errores graves.</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8EB16D7"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Expone las operaciones en los estados financieros con errores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DD7F7F8"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Expone todas las operaciones correctamente, con saldos que cuadran.</w:t>
            </w:r>
          </w:p>
        </w:tc>
      </w:tr>
      <w:tr w:rsidR="00EE70B8" w14:paraId="42C0CDFC"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FC85EDF"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6260" w:type="dxa"/>
            <w:gridSpan w:val="1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4EC5A71" w14:textId="77777777" w:rsidR="00EE70B8" w:rsidRPr="00C15354" w:rsidRDefault="00C15354">
            <w:pPr>
              <w:spacing w:before="20" w:after="20" w:line="240" w:lineRule="auto"/>
              <w:jc w:val="center"/>
              <w:rPr>
                <w:rFonts w:ascii="Century Gothic" w:hAnsi="Century Gothic" w:cs="Century Gothic" w:eastAsia="Century Gothic"/>
                <w:sz w:val="18"/>
                <w:szCs w:val="18"/>
              </w:rPr>
            </w:pPr>
            <w:r w:rsidRPr="00C15354">
              <w:rPr>
                <w:rFonts w:ascii="Century Gothic" w:hAnsi="Century Gothic" w:cs="Century Gothic" w:eastAsia="Century Gothic"/>
                <w:b/>
                <w:bCs/>
                <w:i/>
                <w:iCs/>
                <w:sz w:val="18"/>
                <w:szCs w:val="18"/>
              </w:rPr>
              <w:t xml:space="preserve">Producto 7: </w:t>
            </w:r>
            <w:r w:rsidRPr="00C15354">
              <w:rPr>
                <w:rFonts w:ascii="Century Gothic" w:hAnsi="Century Gothic" w:cs="Century Gothic" w:eastAsia="Century Gothic"/>
                <w:sz w:val="18"/>
                <w:szCs w:val="18"/>
              </w:rPr>
              <w:t>Movimiento contable de los depósitos a plazo fijo en un caso práctico y su exposición en los estados financieros</w:t>
            </w:r>
          </w:p>
        </w:tc>
        <w:tc>
          <w:tcPr>
            <w:tcW w:w="1567" w:type="dxa"/>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5A567B30"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color w:val="FFFFFF"/>
                <w:sz w:val="18"/>
                <w:szCs w:val="18"/>
              </w:rPr>
              <w:t>Peso: 9%</w:t>
            </w:r>
          </w:p>
        </w:tc>
      </w:tr>
      <w:tr w:rsidR="00EE70B8" w14:paraId="1539118C"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9AB0573"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30FD02DE"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Criterio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7563BC50"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Insuficiente (1–50)</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0E3C35B6"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Suficiente (51–80)</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36E54948"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Destacado (81–100)</w:t>
            </w:r>
          </w:p>
        </w:tc>
      </w:tr>
      <w:tr w:rsidR="00EE70B8" w14:paraId="2219B2B2"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4962D8CA"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023884F"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Apertura, movimiento y cierre</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E31311E"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Omite operaciones o registra incorrectamente la apertura, el movimiento y el cierre del depósito a plazo fijo en moneda nacional y extranjera.</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0360D76"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Registra la apertura, el movimiento y el cierre del depósito a plazo fijo en moneda nacional y extranjera con errores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4AF3F3D"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Registra la apertura, el movimiento y el cierre del depósito a plazo fijo en moneda nacional y extranjera correctamente, con asientos y respaldos completos.</w:t>
            </w:r>
          </w:p>
        </w:tc>
      </w:tr>
      <w:tr w:rsidR="00EE70B8" w14:paraId="4C1221CB"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4EE91E98"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0479571"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Cálculo de intereses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53D034B"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El cálculo de los intereses del depósito a plazo fijo es incorrecto o está incompleto.</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0B415AA"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Calcula los intereses del depósito a plazo fijo con diferencias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7AFBDD4"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Calcula los intereses del depósito a plazo fijo con exactitud y explica el procedimiento.</w:t>
            </w:r>
          </w:p>
        </w:tc>
      </w:tr>
      <w:tr w:rsidR="00EE70B8" w14:paraId="7598609F"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EA73B6D"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09FC27B"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Exposición en los estados financieros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BF4A228"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No expone las operaciones o las expone con errores graves.</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2FD9838"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Expone las operaciones en los estados financieros con errores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5C58552"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Expone todas las operaciones correctamente, con saldos que cuadran.</w:t>
            </w:r>
          </w:p>
        </w:tc>
      </w:tr>
      <w:tr w:rsidR="00EE70B8" w14:paraId="79E0F760"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1BF98B0"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6260" w:type="dxa"/>
            <w:gridSpan w:val="1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E518B8D" w14:textId="77777777" w:rsidR="00EE70B8" w:rsidRPr="00C15354" w:rsidRDefault="00C15354">
            <w:pPr>
              <w:spacing w:before="20" w:after="20" w:line="240" w:lineRule="auto"/>
              <w:jc w:val="center"/>
              <w:rPr>
                <w:rFonts w:ascii="Century Gothic" w:hAnsi="Century Gothic" w:cs="Century Gothic" w:eastAsia="Century Gothic"/>
                <w:sz w:val="18"/>
                <w:szCs w:val="18"/>
              </w:rPr>
            </w:pPr>
            <w:r w:rsidRPr="00C15354">
              <w:rPr>
                <w:rFonts w:ascii="Century Gothic" w:hAnsi="Century Gothic" w:cs="Century Gothic" w:eastAsia="Century Gothic"/>
                <w:b/>
                <w:bCs/>
                <w:i/>
                <w:iCs/>
                <w:sz w:val="18"/>
                <w:szCs w:val="18"/>
              </w:rPr>
              <w:t xml:space="preserve">Producto 8: </w:t>
            </w:r>
            <w:r w:rsidRPr="00C15354">
              <w:rPr>
                <w:rFonts w:ascii="Century Gothic" w:hAnsi="Century Gothic" w:cs="Century Gothic" w:eastAsia="Century Gothic"/>
                <w:sz w:val="18"/>
                <w:szCs w:val="18"/>
              </w:rPr>
              <w:t>Cálculo del encaje legal y del Fondo RAL de un caso práctico</w:t>
            </w:r>
          </w:p>
        </w:tc>
        <w:tc>
          <w:tcPr>
            <w:tcW w:w="1567" w:type="dxa"/>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7963848C"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color w:val="FFFFFF"/>
                <w:sz w:val="18"/>
                <w:szCs w:val="18"/>
              </w:rPr>
              <w:t>Peso: 9%</w:t>
            </w:r>
          </w:p>
        </w:tc>
      </w:tr>
      <w:tr w:rsidR="00EE70B8" w14:paraId="3DC40F23"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467F1C47"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156CBA1E"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Criterio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072CE113"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Insuficiente (1–50)</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5FC35703"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Suficiente (51–80)</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63EE085F"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Destacado (81–100)</w:t>
            </w:r>
          </w:p>
        </w:tc>
      </w:tr>
      <w:tr w:rsidR="00EE70B8" w14:paraId="018A21A3"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5857766"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C425B0D"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Encaje legal en efectivo y en títulos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8ABB0C7"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 xml:space="preserve">El cálculo del encaje legal</w:t>
            </w:r>
            <w:proofErr w:type="spellStart"/>
            <w:proofErr w:type="spellEnd"/>
            <w:r w:rsidRPr="00C15354">
              <w:rPr>
                <w:rFonts w:ascii="Century Gothic" w:hAnsi="Century Gothic" w:cs="Century Gothic" w:eastAsia="Century Gothic"/>
                <w:sz w:val="18"/>
                <w:szCs w:val="18"/>
              </w:rPr>
              <w:t xml:space="preserve"> requerido y constituido en efectivo y en títulos es incorrecto o está incompleto.</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DA99ED5"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Calcula el encaje legal requerido y constituido en efectivo y en títulos con diferencias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F3F115F"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Calcula el encaje legal requerido y constituido en efectivo y en títulos con exactitud y explica el procedimiento.</w:t>
            </w:r>
          </w:p>
        </w:tc>
      </w:tr>
      <w:tr w:rsidR="00EE70B8" w14:paraId="0773D8B6"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B391F91"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497CBDBE"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Excedente, deficiencia y multa</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187EC9D"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 xml:space="preserve">El cálculo del excedente</w:t>
            </w:r>
            <w:proofErr w:type="spellStart"/>
            <w:proofErr w:type="spellEnd"/>
            <w:r w:rsidRPr="00C15354">
              <w:rPr>
                <w:rFonts w:ascii="Century Gothic" w:hAnsi="Century Gothic" w:cs="Century Gothic" w:eastAsia="Century Gothic"/>
                <w:sz w:val="18"/>
                <w:szCs w:val="18"/>
              </w:rPr>
              <w:t xml:space="preserve"> o la deficiencia de encaje y la multa correspondiente es incorrecto o está incompleto.</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68D293C"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Calcula el excedente o la deficiencia de encaje y la multa correspondiente con diferencias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073D9B5"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Calcula el excedente o la deficiencia de encaje y la multa correspondiente con exactitud y explica el procedimiento.</w:t>
            </w:r>
          </w:p>
        </w:tc>
      </w:tr>
      <w:tr w:rsidR="00EE70B8" w14:paraId="19580661"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24D7D70"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1D1D174"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Fondo RAL y presentación</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95D4FF3"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No calcula el Fondo RAL o presenta el cálculo con errores graves.</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BD0CA9C"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Calcula el Fondo RAL con errores menores y presenta el caso de forma ordenada.</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3F99865"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Calcula el Fondo RAL correctamente y presenta el caso de forma clara y completa.</w:t>
            </w:r>
          </w:p>
        </w:tc>
      </w:tr>
      <w:tr w:rsidR="00EE70B8" w14:paraId="7073AE6D"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0F966BE"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6260" w:type="dxa"/>
            <w:gridSpan w:val="1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AE76701" w14:textId="77777777" w:rsidR="00EE70B8" w:rsidRPr="00C15354" w:rsidRDefault="00C15354">
            <w:pPr>
              <w:spacing w:before="20" w:after="20" w:line="240" w:lineRule="auto"/>
              <w:jc w:val="center"/>
              <w:rPr>
                <w:rFonts w:ascii="Century Gothic" w:hAnsi="Century Gothic" w:cs="Century Gothic" w:eastAsia="Century Gothic"/>
                <w:sz w:val="18"/>
                <w:szCs w:val="18"/>
              </w:rPr>
            </w:pPr>
            <w:r w:rsidRPr="00C15354">
              <w:rPr>
                <w:rFonts w:ascii="Century Gothic" w:hAnsi="Century Gothic" w:cs="Century Gothic" w:eastAsia="Century Gothic"/>
                <w:b/>
                <w:bCs/>
                <w:i/>
                <w:iCs/>
                <w:sz w:val="18"/>
                <w:szCs w:val="18"/>
              </w:rPr>
              <w:t xml:space="preserve">Producto 9: </w:t>
            </w:r>
            <w:r w:rsidRPr="00C15354">
              <w:rPr>
                <w:rFonts w:ascii="Century Gothic" w:hAnsi="Century Gothic" w:cs="Century Gothic" w:eastAsia="Century Gothic"/>
                <w:sz w:val="18"/>
                <w:szCs w:val="18"/>
              </w:rPr>
              <w:t>Ejercicio integral de las operaciones de la cartera vigente de una entidad financiera, con su exposición en los estados financieros</w:t>
            </w:r>
          </w:p>
        </w:tc>
        <w:tc>
          <w:tcPr>
            <w:tcW w:w="1567" w:type="dxa"/>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7A678559"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color w:val="FFFFFF"/>
                <w:sz w:val="18"/>
                <w:szCs w:val="18"/>
              </w:rPr>
              <w:t>Peso: 10%</w:t>
            </w:r>
          </w:p>
        </w:tc>
      </w:tr>
      <w:tr w:rsidR="00EE70B8" w14:paraId="5FE6F41C"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0F7789F"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50DB2A53"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Criterio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02F3A5B2"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Insuficiente (1–50)</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58285496"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Suficiente (51–80)</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1E41DDCE"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Destacado (81–100)</w:t>
            </w:r>
          </w:p>
        </w:tc>
      </w:tr>
      <w:tr w:rsidR="00EE70B8" w14:paraId="6FF3E641"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A2FD2EE"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7BBB87F"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Desembolso y recuperación</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7A1B747"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Omite operaciones o registra incorrectamente el desembolso, el cobro de cuotas y la recuperación de los créditos vigentes.</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2010225"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Registra el desembolso, el cobro de cuotas y la recuperación de los créditos vigentes con errores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BBC401A"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Registra el desembolso, el cobro de cuotas y la recuperación de los créditos vigentes correctamente, con asientos y respaldos completos.</w:t>
            </w:r>
          </w:p>
        </w:tc>
      </w:tr>
      <w:tr w:rsidR="00EE70B8" w14:paraId="1538E311"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AD55062"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479BAB5"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Devengamiento de intereses y previsión</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CFC9C61"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El cálculo de los intereses devengados y la previsión de la cartera vigente es incorrecto o está incompleto.</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207FAEB"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Calcula los intereses devengados y la previsión de la cartera vigente con diferencias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73206BA"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Calcula los intereses devengados y la previsión de la cartera vigente con exactitud y explica el procedimiento.</w:t>
            </w:r>
          </w:p>
        </w:tc>
      </w:tr>
      <w:tr w:rsidR="00EE70B8" w14:paraId="7D40688A"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426BC051"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ABDC5A8"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Exposición en los estados financieros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D549CE5"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No expone las operaciones o las expone con errores graves.</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213AF05"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Expone las operaciones en los estados financieros con errores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82E24A3"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Expone todas las operaciones correctamente, con saldos que cuadran.</w:t>
            </w:r>
          </w:p>
        </w:tc>
      </w:tr>
      <w:tr w:rsidR="00EE70B8" w14:paraId="04E5897B"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AF7627B"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6260" w:type="dxa"/>
            <w:gridSpan w:val="1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F89D555" w14:textId="77777777" w:rsidR="00EE70B8" w:rsidRPr="00C15354" w:rsidRDefault="00C15354">
            <w:pPr>
              <w:spacing w:before="20" w:after="20" w:line="240" w:lineRule="auto"/>
              <w:jc w:val="center"/>
              <w:rPr>
                <w:rFonts w:ascii="Century Gothic" w:hAnsi="Century Gothic" w:cs="Century Gothic" w:eastAsia="Century Gothic"/>
                <w:sz w:val="18"/>
                <w:szCs w:val="18"/>
              </w:rPr>
            </w:pPr>
            <w:r w:rsidRPr="00C15354">
              <w:rPr>
                <w:rFonts w:ascii="Century Gothic" w:hAnsi="Century Gothic" w:cs="Century Gothic" w:eastAsia="Century Gothic"/>
                <w:b/>
                <w:bCs/>
                <w:i/>
                <w:iCs/>
                <w:sz w:val="18"/>
                <w:szCs w:val="18"/>
              </w:rPr>
              <w:t xml:space="preserve">Producto 10: </w:t>
            </w:r>
            <w:r w:rsidRPr="00C15354">
              <w:rPr>
                <w:rFonts w:ascii="Century Gothic" w:hAnsi="Century Gothic" w:cs="Century Gothic" w:eastAsia="Century Gothic"/>
                <w:sz w:val="18"/>
                <w:szCs w:val="18"/>
              </w:rPr>
              <w:t>Ejercicio integral de las operaciones de la cartera vencida, con el cálculo de los intereses vencidos y penales y su exposición en los estados financieros</w:t>
            </w:r>
          </w:p>
        </w:tc>
        <w:tc>
          <w:tcPr>
            <w:tcW w:w="1567" w:type="dxa"/>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15CA171E"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color w:val="FFFFFF"/>
                <w:sz w:val="18"/>
                <w:szCs w:val="18"/>
              </w:rPr>
              <w:t>Peso: 10%</w:t>
            </w:r>
          </w:p>
        </w:tc>
      </w:tr>
      <w:tr w:rsidR="00EE70B8" w14:paraId="1F111EDE"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4D7F445"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1BC2EAF0"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Criterio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1FBBB402"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Insuficiente (1–50)</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7EF57AC1"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Suficiente (51–80)</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2A7329A3"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Destacado (81–100)</w:t>
            </w:r>
          </w:p>
        </w:tc>
      </w:tr>
      <w:tr w:rsidR="00EE70B8" w14:paraId="1899EAA2"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ED9FD84"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BDFAD1C"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Traspaso y registro de la cartera vencida</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F00E444"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Omite operaciones o registra incorrectamente el traspaso y las operaciones de la cartera vencida.</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041B70E"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Registra el traspaso y las operaciones de la cartera vencida con errores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4187052"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Registra el traspaso y las operaciones de la cartera vencida correctamente, con asientos y respaldos completos.</w:t>
            </w:r>
          </w:p>
        </w:tc>
      </w:tr>
      <w:tr w:rsidR="00EE70B8" w14:paraId="697AD98E"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3CB1175"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0698FB9"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Intereses vencidos y penales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CBB53FE"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El cálculo de los intereses vencidos y los intereses penales es incorrecto o está incompleto.</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992226C"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Calcula los intereses vencidos y los intereses penales con diferencias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63F67B9"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Calcula los intereses vencidos y los intereses penales con exactitud y explica el procedimiento.</w:t>
            </w:r>
          </w:p>
        </w:tc>
      </w:tr>
      <w:tr w:rsidR="00EE70B8" w14:paraId="3D487617"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8F90304"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3F56F8A"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Exposición en los estados financieros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9C4FF17"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No expone las operaciones o las expone con errores graves.</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57AD5DF"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Expone las operaciones en los estados financieros con errores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46B8E8C"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Expone todas las operaciones correctamente, con saldos que cuadran.</w:t>
            </w:r>
          </w:p>
        </w:tc>
      </w:tr>
      <w:tr w:rsidR="00EE70B8" w14:paraId="32C14FEC"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FE7130B"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6260" w:type="dxa"/>
            <w:gridSpan w:val="1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ED259CB" w14:textId="77777777" w:rsidR="00EE70B8" w:rsidRPr="00C15354" w:rsidRDefault="00C15354">
            <w:pPr>
              <w:spacing w:before="20" w:after="20" w:line="240" w:lineRule="auto"/>
              <w:jc w:val="center"/>
              <w:rPr>
                <w:rFonts w:ascii="Century Gothic" w:hAnsi="Century Gothic" w:cs="Century Gothic" w:eastAsia="Century Gothic"/>
                <w:sz w:val="18"/>
                <w:szCs w:val="18"/>
              </w:rPr>
            </w:pPr>
            <w:r w:rsidRPr="00C15354">
              <w:rPr>
                <w:rFonts w:ascii="Century Gothic" w:hAnsi="Century Gothic" w:cs="Century Gothic" w:eastAsia="Century Gothic"/>
                <w:b/>
                <w:bCs/>
                <w:i/>
                <w:iCs/>
                <w:sz w:val="18"/>
                <w:szCs w:val="18"/>
              </w:rPr>
              <w:t xml:space="preserve">Producto 11: </w:t>
            </w:r>
            <w:r w:rsidRPr="00C15354">
              <w:rPr>
                <w:rFonts w:ascii="Century Gothic" w:hAnsi="Century Gothic" w:cs="Century Gothic" w:eastAsia="Century Gothic"/>
                <w:sz w:val="18"/>
                <w:szCs w:val="18"/>
              </w:rPr>
              <w:t>Tratamiento contable de los créditos con recursos de entidades financieras, con su exposición en los estados financieros</w:t>
            </w:r>
          </w:p>
        </w:tc>
        <w:tc>
          <w:tcPr>
            <w:tcW w:w="1567" w:type="dxa"/>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66CBC7EA"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color w:val="FFFFFF"/>
                <w:sz w:val="18"/>
                <w:szCs w:val="18"/>
              </w:rPr>
              <w:t>Peso: 7%</w:t>
            </w:r>
          </w:p>
        </w:tc>
      </w:tr>
      <w:tr w:rsidR="00EE70B8" w14:paraId="5263D030"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D23EA80"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25E7FB35"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Criterio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4F9CD767"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Insuficiente (1–50)</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4F005845"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Suficiente (51–80)</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5B471E57"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Destacado (81–100)</w:t>
            </w:r>
          </w:p>
        </w:tc>
      </w:tr>
      <w:tr w:rsidR="00EE70B8" w14:paraId="6D539601"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A36A072"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CB61B8A"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Obligación y desembolso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14B6D13"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Omite operaciones o registra incorrectamente la obligación y el desembolso del crédito con recursos de segundo piso.</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5A45A20"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Registra la obligación y el desembolso del crédito con recursos de segundo piso con errores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D2270F1"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Registra la obligación y el desembolso del crédito con recursos de segundo piso correctamente, con asientos y respaldos completos.</w:t>
            </w:r>
          </w:p>
        </w:tc>
      </w:tr>
      <w:tr w:rsidR="00EE70B8" w14:paraId="7A6A0BC8"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AAE9701"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6E3D7E8"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Devengamiento y cancelación</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DDEB140"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El cálculo de los intereses devengados y la cancelación de la obligación es incorrecto o está incompleto.</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342D983"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Calcula los intereses devengados y la cancelación de la obligación con diferencias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69F5AC6"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Calcula los intereses devengados y la cancelación de la obligación con exactitud y explica el procedimiento.</w:t>
            </w:r>
          </w:p>
        </w:tc>
      </w:tr>
      <w:tr w:rsidR="00EE70B8" w14:paraId="0D749AF9"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152FE27"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7ECF9CD"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Exposición en los estados financieros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938334B"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No expone las operaciones o las expone con errores graves.</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C14ADF8"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Expone las operaciones en los estados financieros con errores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062E840"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Expone todas las operaciones correctamente, con saldos que cuadran.</w:t>
            </w:r>
          </w:p>
        </w:tc>
      </w:tr>
      <w:tr w:rsidR="00EE70B8" w14:paraId="00E5794B"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4D69ED04"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6260" w:type="dxa"/>
            <w:gridSpan w:val="1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3B692E2" w14:textId="77777777" w:rsidR="00EE70B8" w:rsidRPr="00C15354" w:rsidRDefault="00C15354">
            <w:pPr>
              <w:spacing w:before="20" w:after="20" w:line="240" w:lineRule="auto"/>
              <w:jc w:val="center"/>
              <w:rPr>
                <w:rFonts w:ascii="Century Gothic" w:hAnsi="Century Gothic" w:cs="Century Gothic" w:eastAsia="Century Gothic"/>
                <w:sz w:val="18"/>
                <w:szCs w:val="18"/>
              </w:rPr>
            </w:pPr>
            <w:r w:rsidRPr="00C15354">
              <w:rPr>
                <w:rFonts w:ascii="Century Gothic" w:hAnsi="Century Gothic" w:cs="Century Gothic" w:eastAsia="Century Gothic"/>
                <w:b/>
                <w:bCs/>
                <w:i/>
                <w:iCs/>
                <w:sz w:val="18"/>
                <w:szCs w:val="18"/>
              </w:rPr>
              <w:t xml:space="preserve">Producto 12: </w:t>
            </w:r>
            <w:r w:rsidRPr="00C15354">
              <w:rPr>
                <w:rFonts w:ascii="Century Gothic" w:hAnsi="Century Gothic" w:cs="Century Gothic" w:eastAsia="Century Gothic"/>
                <w:sz w:val="18"/>
                <w:szCs w:val="18"/>
              </w:rPr>
              <w:t>Tratamiento contable de la cartera en ejecución y de su recuperación mediante la adjudicación de bienes, con su exposición en los estados financieros</w:t>
            </w:r>
          </w:p>
        </w:tc>
        <w:tc>
          <w:tcPr>
            <w:tcW w:w="1567" w:type="dxa"/>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3E2DDF8A"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color w:val="FFFFFF"/>
                <w:sz w:val="18"/>
                <w:szCs w:val="18"/>
              </w:rPr>
              <w:t>Peso: 8%</w:t>
            </w:r>
          </w:p>
        </w:tc>
      </w:tr>
      <w:tr w:rsidR="00EE70B8" w14:paraId="6A985589"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E6AE2A5"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6585E12E"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Criterio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5C1C9639"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Insuficiente (1–50)</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4FBBF3DB"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Suficiente (51–80)</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7886E8A7"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Destacado (81–100)</w:t>
            </w:r>
          </w:p>
        </w:tc>
      </w:tr>
      <w:tr w:rsidR="00EE70B8" w14:paraId="53725A40"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116672C"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380ED3D"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Cartera en ejecución</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419E028"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Omite operaciones o registra incorrectamente el traspaso, la previsión y la recuperación de la cartera en ejecución.</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FB90B56"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Registra el traspaso, la previsión y la recuperación de la cartera en ejecución con errores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8F4D3E9"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Registra el traspaso, la previsión y la recuperación de la cartera en ejecución correctamente, con asientos y respaldos completos.</w:t>
            </w:r>
          </w:p>
        </w:tc>
      </w:tr>
      <w:tr w:rsidR="00EE70B8" w14:paraId="5C1BA3D4"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4FD2376"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E465A61"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Adjudicación de bienes por vía legal</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4C062663"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Omite operaciones o registra incorrectamente la adjudicación de bienes, su previsión y su enajenación.</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2FB7411"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Registra la adjudicación de bienes, su previsión y su enajenación con errores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3A06A52"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Registra la adjudicación de bienes, su previsión y su enajenación correctamente, con asientos y respaldos completos.</w:t>
            </w:r>
          </w:p>
        </w:tc>
      </w:tr>
      <w:tr w:rsidR="00EE70B8" w14:paraId="6FCEE134"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B68E644"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25687E8"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Exposición en los estados financieros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CA8BAE0"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No expone las operaciones o las expone con errores graves.</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0161D48"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Expone las operaciones en los estados financieros con errores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B6E4161"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Expone todas las operaciones correctamente, con saldos que cuadran.</w:t>
            </w:r>
          </w:p>
        </w:tc>
      </w:tr>
      <w:tr w:rsidR="00EE70B8" w14:paraId="4F9082BA"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EA28638"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6260" w:type="dxa"/>
            <w:gridSpan w:val="1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C03F5C5" w14:textId="77777777" w:rsidR="00EE70B8" w:rsidRPr="00C15354" w:rsidRDefault="00C15354">
            <w:pPr>
              <w:spacing w:before="20" w:after="20" w:line="240" w:lineRule="auto"/>
              <w:jc w:val="center"/>
              <w:rPr>
                <w:rFonts w:ascii="Century Gothic" w:hAnsi="Century Gothic" w:cs="Century Gothic" w:eastAsia="Century Gothic"/>
                <w:sz w:val="18"/>
                <w:szCs w:val="18"/>
              </w:rPr>
            </w:pPr>
            <w:r w:rsidRPr="00C15354">
              <w:rPr>
                <w:rFonts w:ascii="Century Gothic" w:hAnsi="Century Gothic" w:cs="Century Gothic" w:eastAsia="Century Gothic"/>
                <w:b/>
                <w:bCs/>
                <w:i/>
                <w:iCs/>
                <w:sz w:val="18"/>
                <w:szCs w:val="18"/>
              </w:rPr>
              <w:t xml:space="preserve">Producto 13: </w:t>
            </w:r>
            <w:r w:rsidRPr="00C15354">
              <w:rPr>
                <w:rFonts w:ascii="Century Gothic" w:hAnsi="Century Gothic" w:cs="Century Gothic" w:eastAsia="Century Gothic"/>
                <w:sz w:val="18"/>
                <w:szCs w:val="18"/>
              </w:rPr>
              <w:t>Cuadro de clasificación de los instrumentos financieros de renta fija y de renta variable</w:t>
            </w:r>
          </w:p>
        </w:tc>
        <w:tc>
          <w:tcPr>
            <w:tcW w:w="1567" w:type="dxa"/>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6EF88844"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color w:val="FFFFFF"/>
                <w:sz w:val="18"/>
                <w:szCs w:val="18"/>
              </w:rPr>
              <w:t>Peso: 2%</w:t>
            </w:r>
          </w:p>
        </w:tc>
      </w:tr>
      <w:tr w:rsidR="00EE70B8" w14:paraId="3CB72C92"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5F3F44E"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2AF05344"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Criterio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60B72627"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Insuficiente (1–50)</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6D3F86D3"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Suficiente (51–80)</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392432A1"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Destacado (81–100)</w:t>
            </w:r>
          </w:p>
        </w:tc>
      </w:tr>
      <w:tr w:rsidR="00EE70B8" w14:paraId="19C86571"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A35ADF6"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85F96CC"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Clasificación de los instrumentos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629078B"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Describe los instrumentos de renta fija y de renta variable de forma incompleta o con errores conceptuales.</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4F134DDD"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Describe los instrumentos de renta fija y de renta variable con las ideas principales y errores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29F067B"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Describe los instrumentos de renta fija y de renta variable de forma completa, precisa y con sustento normativo.</w:t>
            </w:r>
          </w:p>
        </w:tc>
      </w:tr>
      <w:tr w:rsidR="00EE70B8" w14:paraId="4DD937FC"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7E861D7"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8FE3B03"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Activos y pasivos financieros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C2ACDFC"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Describe los conceptos de activo financiero y de pasivo financiero de forma incompleta o con errores conceptuales.</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12D2BF8"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Describe los conceptos de activo financiero y de pasivo financiero con las ideas principales y errores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CFC8078"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Describe los conceptos de activo financiero y de pasivo financiero de forma completa, precisa y con sustento normativo.</w:t>
            </w:r>
          </w:p>
        </w:tc>
      </w:tr>
      <w:tr w:rsidR="00EE70B8" w14:paraId="3F469362"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145A7D3"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8440500"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Claridad y presentación</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4807F15"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Presentación desordenada o con errores ortográficos frecuentes.</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4098174E"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Presentación ordenada y comprensible, con omisiones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5C2DA89"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Presentación clara, jerárquica y sin errores ortográficos.</w:t>
            </w:r>
          </w:p>
        </w:tc>
      </w:tr>
      <w:tr w:rsidR="00EE70B8" w14:paraId="7BF40EF3"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190F9BC"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6260" w:type="dxa"/>
            <w:gridSpan w:val="1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1C960B1" w14:textId="77777777" w:rsidR="00EE70B8" w:rsidRPr="00C15354" w:rsidRDefault="00C15354">
            <w:pPr>
              <w:spacing w:before="20" w:after="20" w:line="240" w:lineRule="auto"/>
              <w:jc w:val="center"/>
              <w:rPr>
                <w:rFonts w:ascii="Century Gothic" w:hAnsi="Century Gothic" w:cs="Century Gothic" w:eastAsia="Century Gothic"/>
                <w:sz w:val="18"/>
                <w:szCs w:val="18"/>
              </w:rPr>
            </w:pPr>
            <w:r w:rsidRPr="00C15354">
              <w:rPr>
                <w:rFonts w:ascii="Century Gothic" w:hAnsi="Century Gothic" w:cs="Century Gothic" w:eastAsia="Century Gothic"/>
                <w:b/>
                <w:bCs/>
                <w:i/>
                <w:iCs/>
                <w:sz w:val="18"/>
                <w:szCs w:val="18"/>
              </w:rPr>
              <w:t xml:space="preserve">Producto 14: </w:t>
            </w:r>
            <w:r w:rsidRPr="00C15354">
              <w:rPr>
                <w:rFonts w:ascii="Century Gothic" w:hAnsi="Century Gothic" w:cs="Century Gothic" w:eastAsia="Century Gothic"/>
                <w:sz w:val="18"/>
                <w:szCs w:val="18"/>
              </w:rPr>
              <w:t>Esquema del mercado de valores boliviano con los agentes de bolsa, las SAFI y los tipos de fondos de inversión</w:t>
            </w:r>
          </w:p>
        </w:tc>
        <w:tc>
          <w:tcPr>
            <w:tcW w:w="1567" w:type="dxa"/>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258F0D0A"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color w:val="FFFFFF"/>
                <w:sz w:val="18"/>
                <w:szCs w:val="18"/>
              </w:rPr>
              <w:t>Peso: 2%</w:t>
            </w:r>
          </w:p>
        </w:tc>
      </w:tr>
      <w:tr w:rsidR="00EE70B8" w14:paraId="619FA9B0"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CEE7AB5"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43E66A77"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Criterio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798F229B"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Insuficiente (1–50)</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032F8A2D"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Suficiente (51–80)</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51D4892F"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Destacado (81–100)</w:t>
            </w:r>
          </w:p>
        </w:tc>
      </w:tr>
      <w:tr w:rsidR="00EE70B8" w14:paraId="0E6EBBEA"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453DBF12"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CD7F239"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Organización del mercado de valores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37468FF"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Describe los participantes del mercado de valores boliviano de forma incompleta o con errores conceptuales.</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3ECD4E2"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Describe los participantes del mercado de valores boliviano con las ideas principales y errores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FAF9832"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Describe los participantes del mercado de valores boliviano de forma completa, precisa y con sustento normativo.</w:t>
            </w:r>
          </w:p>
        </w:tc>
      </w:tr>
      <w:tr w:rsidR="00EE70B8" w14:paraId="0C0B05C4"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492BBC53"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DE49E76"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Agentes de bolsa y SAFI</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69FD455"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Describe la función de los agentes de bolsa, de las SAFI y de los tipos de fondos de forma incompleta o con errores conceptuales.</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CA194F3"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Describe la función de los agentes de bolsa, de las SAFI y de los tipos de fondos con las ideas principales y errores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4DDC0079"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Describe la función de los agentes de bolsa, de las SAFI y de los tipos de fondos de forma completa, precisa y con sustento normativo.</w:t>
            </w:r>
          </w:p>
        </w:tc>
      </w:tr>
      <w:tr w:rsidR="00EE70B8" w14:paraId="183F33B7"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DE8E195"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A22DF82"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Claridad y presentación</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6E5318D"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Presentación desordenada o con errores ortográficos frecuentes.</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1AAD852"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Presentación ordenada y comprensible, con omisiones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239A36C"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Presentación clara, jerárquica y sin errores ortográficos.</w:t>
            </w:r>
          </w:p>
        </w:tc>
      </w:tr>
      <w:tr w:rsidR="00EE70B8" w14:paraId="6CF47353"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4BAF9FEA"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6260" w:type="dxa"/>
            <w:gridSpan w:val="1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B96A2D5" w14:textId="77777777" w:rsidR="00EE70B8" w:rsidRPr="00C15354" w:rsidRDefault="00C15354">
            <w:pPr>
              <w:spacing w:before="20" w:after="20" w:line="240" w:lineRule="auto"/>
              <w:jc w:val="center"/>
              <w:rPr>
                <w:rFonts w:ascii="Century Gothic" w:hAnsi="Century Gothic" w:cs="Century Gothic" w:eastAsia="Century Gothic"/>
                <w:sz w:val="18"/>
                <w:szCs w:val="18"/>
              </w:rPr>
            </w:pPr>
            <w:r w:rsidRPr="00C15354">
              <w:rPr>
                <w:rFonts w:ascii="Century Gothic" w:hAnsi="Century Gothic" w:cs="Century Gothic" w:eastAsia="Century Gothic"/>
                <w:b/>
                <w:bCs/>
                <w:i/>
                <w:iCs/>
                <w:sz w:val="18"/>
                <w:szCs w:val="18"/>
              </w:rPr>
              <w:t xml:space="preserve">Producto 15: </w:t>
            </w:r>
            <w:r w:rsidRPr="00C15354">
              <w:rPr>
                <w:rFonts w:ascii="Century Gothic" w:hAnsi="Century Gothic" w:cs="Century Gothic" w:eastAsia="Century Gothic"/>
                <w:sz w:val="18"/>
                <w:szCs w:val="18"/>
              </w:rPr>
              <w:t>Esquema de las entidades auxiliares financieras y de las empresas de tecnología financiera, con sus principales operaciones</w:t>
            </w:r>
          </w:p>
        </w:tc>
        <w:tc>
          <w:tcPr>
            <w:tcW w:w="1567" w:type="dxa"/>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4CF1A284"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color w:val="FFFFFF"/>
                <w:sz w:val="18"/>
                <w:szCs w:val="18"/>
              </w:rPr>
              <w:t>Peso: 2%</w:t>
            </w:r>
          </w:p>
        </w:tc>
      </w:tr>
      <w:tr w:rsidR="00EE70B8" w14:paraId="3E836530"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8F91B07"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078EE0B2"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Criterio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0F4EB79A"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Insuficiente (1–50)</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59E6457E"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Suficiente (51–80)</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7204D59A"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Destacado (81–100)</w:t>
            </w:r>
          </w:p>
        </w:tc>
      </w:tr>
      <w:tr w:rsidR="00EE70B8" w14:paraId="631EFDDE"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1CDC02C"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D523ABD"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Tipos de entidades auxiliares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6A44DEF"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Describe las entidades auxiliares financieras y las empresas de tecnología financiera de forma incompleta o con errores conceptuales.</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84EAB88"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Describe las entidades auxiliares financieras y las empresas de tecnología financiera con las ideas principales y errores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D1754D9"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Describe las entidades auxiliares financieras y las empresas de tecnología financiera de forma completa, precisa y con sustento normativo.</w:t>
            </w:r>
          </w:p>
        </w:tc>
      </w:tr>
      <w:tr w:rsidR="00EE70B8" w14:paraId="4BD122DA"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6FE2336"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4E99A83B"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Operaciones y constitución</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7D7C290"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Describe las principales operaciones y la constitución de estas entidades de forma incompleta o con errores conceptuales.</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B4FF411"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Describe las principales operaciones y la constitución de estas entidades con las ideas principales y errores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552FD6E"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Describe las principales operaciones y la constitución de estas entidades de forma completa, precisa y con sustento normativo.</w:t>
            </w:r>
          </w:p>
        </w:tc>
      </w:tr>
      <w:tr w:rsidR="00EE70B8" w14:paraId="3D8DC0A7"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132E062"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7D6EB9E"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Claridad y presentación</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B19C1F9"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Presentación desordenada o con errores ortográficos frecuentes.</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633426E"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Presentación ordenada y comprensible, con omisiones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78828AF"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Presentación clara, jerárquica y sin errores ortográficos.</w:t>
            </w:r>
          </w:p>
        </w:tc>
      </w:tr>
      <w:tr w:rsidR="00EE70B8" w14:paraId="4AFA0BA1"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224A2E9"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6260" w:type="dxa"/>
            <w:gridSpan w:val="1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528A68C2" w14:textId="77777777" w:rsidR="00EE70B8" w:rsidRPr="00C15354" w:rsidRDefault="00C15354">
            <w:pPr>
              <w:spacing w:before="20" w:after="20" w:line="240" w:lineRule="auto"/>
              <w:jc w:val="center"/>
              <w:rPr>
                <w:rFonts w:ascii="Century Gothic" w:hAnsi="Century Gothic" w:cs="Century Gothic" w:eastAsia="Century Gothic"/>
                <w:sz w:val="18"/>
                <w:szCs w:val="18"/>
              </w:rPr>
            </w:pPr>
            <w:r w:rsidRPr="00C15354">
              <w:rPr>
                <w:rFonts w:ascii="Century Gothic" w:hAnsi="Century Gothic" w:cs="Century Gothic" w:eastAsia="Century Gothic"/>
                <w:b/>
                <w:bCs/>
                <w:i/>
                <w:iCs/>
                <w:sz w:val="18"/>
                <w:szCs w:val="18"/>
              </w:rPr>
              <w:t xml:space="preserve">Producto 16: </w:t>
            </w:r>
            <w:r w:rsidRPr="00C15354">
              <w:rPr>
                <w:rFonts w:ascii="Century Gothic" w:hAnsi="Century Gothic" w:cs="Century Gothic" w:eastAsia="Century Gothic"/>
                <w:sz w:val="18"/>
                <w:szCs w:val="18"/>
              </w:rPr>
              <w:t>Caso práctico de leasing con su registro contable básico y cuadro comparativo frente al crédito bancario</w:t>
            </w:r>
          </w:p>
        </w:tc>
        <w:tc>
          <w:tcPr>
            <w:tcW w:w="1567" w:type="dxa"/>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22E1C973"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color w:val="FFFFFF"/>
                <w:sz w:val="18"/>
                <w:szCs w:val="18"/>
              </w:rPr>
              <w:t>Peso: 4%</w:t>
            </w:r>
          </w:p>
        </w:tc>
      </w:tr>
      <w:tr w:rsidR="00EE70B8" w14:paraId="4B0C32FC"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59D0AEF"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24B95ECC"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Criterio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76768834"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Insuficiente (1–50)</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3C5439C3"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Suficiente (51–80)</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0638C5E2"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Destacado (81–100)</w:t>
            </w:r>
          </w:p>
        </w:tc>
      </w:tr>
      <w:tr w:rsidR="00EE70B8" w14:paraId="0DBF0A9A"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E0CDD1E"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E8B8D22"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Cálculo de la cuota</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AB224E6"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El cálculo de la cuota del contrato de leasing es incorrecto o está incompleto.</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F3E5355"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Calcula la cuota del contrato de leasing con diferencias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450FE488"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Calcula la cuota del contrato de leasing con exactitud y explica el procedimiento.</w:t>
            </w:r>
          </w:p>
        </w:tc>
      </w:tr>
      <w:tr w:rsidR="00EE70B8" w14:paraId="13DF7C07"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5067D93"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50C631F"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Registro contable básico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7435356"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Omite operaciones o registra incorrectamente las operaciones del contrato de leasing.</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CE0D121"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Registra las operaciones del contrato de leasing con errores menores.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7C38C06"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Registra las operaciones del contrato de leasing correctamente, con asientos y respaldos completos.</w:t>
            </w:r>
          </w:p>
        </w:tc>
      </w:tr>
      <w:tr w:rsidR="00EE70B8" w14:paraId="11027330" w14:textId="77777777">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FA5D4B5"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17DE1E7D"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Comparación con el crédito bancario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F446944"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La comparación es incompleta o contiene errores conceptuales.</w:t>
            </w:r>
          </w:p>
        </w:tc>
        <w:tc>
          <w:tcPr>
            <w:tcW w:w="1962"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E8736F6"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Compara el leasing con el crédito bancario con diferencias y ventajas principales.</w:t>
            </w:r>
          </w:p>
        </w:tc>
        <w:tc>
          <w:tcPr>
            <w:tcW w:w="1952"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4544C5D"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Compara con precisión, incluye ventajas y desventajas y concluye con fundamento.</w:t>
            </w:r>
          </w:p>
        </w:tc>
      </w:tr>
      <w:tr w:rsidR="00EE70B8" w14:paraId="2DE4EC1D" w14:textId="77777777">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609C564" w14:textId="77777777" w:rsidR="00EE70B8" w:rsidRDefault="00EE70B8">
            <w:pPr>
              <w:widowControl w:val="0"/>
              <w:pBdr>
                <w:top w:val="nil"/>
                <w:left w:val="nil"/>
                <w:bottom w:val="nil"/>
                <w:right w:val="nil"/>
                <w:between w:val="nil"/>
              </w:pBdr>
              <w:spacing w:line="240" w:lineRule="auto"/>
              <w:jc w:val="left"/>
              <w:rPr>
                <w:rFonts w:ascii="Century Gothic" w:hAnsi="Century Gothic" w:cs="Century Gothic" w:eastAsia="Century Gothic"/>
                <w:sz w:val="18"/>
                <w:szCs w:val="18"/>
              </w:rPr>
            </w:pPr>
          </w:p>
        </w:tc>
        <w:tc>
          <w:tcPr>
            <w:tcW w:w="6260" w:type="dxa"/>
            <w:gridSpan w:val="1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5FE655B5"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TOTAL</w:t>
            </w:r>
          </w:p>
        </w:tc>
        <w:tc>
          <w:tcPr>
            <w:tcW w:w="1567" w:type="dxa"/>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2272EC6E" w14:textId="77777777" w:rsidR="00EE70B8" w:rsidRPr="00C15354" w:rsidRDefault="00C15354">
            <w:pPr>
              <w:spacing w:before="20" w:after="20" w:line="240" w:lineRule="auto"/>
              <w:jc w:val="center"/>
              <w:rPr>
                <w:rFonts w:ascii="Century Gothic" w:hAnsi="Century Gothic" w:cs="Century Gothic" w:eastAsia="Century Gothic"/>
                <w:color w:val="FFFFFF"/>
                <w:sz w:val="18"/>
                <w:szCs w:val="18"/>
              </w:rPr>
            </w:pPr>
            <w:r w:rsidRPr="00C15354">
              <w:rPr>
                <w:rFonts w:ascii="Century Gothic" w:hAnsi="Century Gothic" w:cs="Century Gothic" w:eastAsia="Century Gothic"/>
                <w:b/>
                <w:bCs/>
                <w:i/>
                <w:iCs/>
                <w:color w:val="FFFFFF"/>
                <w:sz w:val="18"/>
                <w:szCs w:val="18"/>
              </w:rPr>
              <w:t>100%</w:t>
            </w:r>
          </w:p>
        </w:tc>
      </w:tr>
      <w:tr w:rsidR="00EE70B8" w14:paraId="7FEDE561" w14:textId="77777777">
        <w:tc>
          <w:tcPr>
            <w:tcW w:w="9393" w:type="dxa"/>
            <w:gridSpan w:val="16"/>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14:paraId="4242D832"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b/>
                <w:bCs/>
                <w:i/>
                <w:iCs/>
                <w:sz w:val="18"/>
                <w:szCs w:val="18"/>
              </w:rPr>
              <w:t>Bibliografía básica:</w:t>
            </w:r>
          </w:p>
          <w:p w14:paraId="196CD0D4" w14:textId="77777777" w:rsidR="00EE70B8" w:rsidRPr="00C15354" w:rsidRDefault="00C15354">
            <w:pPr>
              <w:spacing w:before="10" w:after="10" w:line="240" w:lineRule="auto"/>
              <w:ind w:left="360" w:hanging="360"/>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 xml:space="preserve">Autoridad de Supervisión del Sistema Financiero, ASFI (s.f.). </w:t>
            </w:r>
            <w:r w:rsidRPr="00C15354">
              <w:rPr>
                <w:rFonts w:ascii="Century Gothic" w:hAnsi="Century Gothic" w:cs="Century Gothic" w:eastAsia="Century Gothic"/>
                <w:i/>
                <w:iCs/>
                <w:sz w:val="18"/>
                <w:szCs w:val="18"/>
              </w:rPr>
              <w:t>Manual de Cuentas para Entidades Financieras</w:t>
            </w:r>
            <w:r w:rsidRPr="00C15354">
              <w:rPr>
                <w:rFonts w:ascii="Century Gothic" w:hAnsi="Century Gothic" w:cs="Century Gothic" w:eastAsia="Century Gothic"/>
                <w:sz w:val="18"/>
                <w:szCs w:val="18"/>
              </w:rPr>
              <w:t>. La Paz – Bolivia.</w:t>
            </w:r>
          </w:p>
          <w:p w14:paraId="7E94269C" w14:textId="77777777" w:rsidR="00EE70B8" w:rsidRPr="00C15354" w:rsidRDefault="00C15354">
            <w:pPr>
              <w:spacing w:before="10" w:after="10" w:line="240" w:lineRule="auto"/>
              <w:ind w:left="360" w:hanging="360"/>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 xml:space="preserve">Autoridad de Supervisión del Sistema Financiero, ASFI (s.f.). </w:t>
            </w:r>
            <w:r w:rsidRPr="00C15354">
              <w:rPr>
                <w:rFonts w:ascii="Century Gothic" w:hAnsi="Century Gothic" w:cs="Century Gothic" w:eastAsia="Century Gothic"/>
                <w:i/>
                <w:iCs/>
                <w:sz w:val="18"/>
                <w:szCs w:val="18"/>
              </w:rPr>
              <w:t>Recopilación de Normas para Servicios Financieros</w:t>
            </w:r>
            <w:r w:rsidRPr="00C15354">
              <w:rPr>
                <w:rFonts w:ascii="Century Gothic" w:hAnsi="Century Gothic" w:cs="Century Gothic" w:eastAsia="Century Gothic"/>
                <w:sz w:val="18"/>
                <w:szCs w:val="18"/>
              </w:rPr>
              <w:t>. La Paz – Bolivia.</w:t>
            </w:r>
          </w:p>
          <w:p w14:paraId="149A2776" w14:textId="77777777" w:rsidR="00EE70B8" w:rsidRPr="00C15354" w:rsidRDefault="00C15354">
            <w:pPr>
              <w:spacing w:before="10" w:after="10" w:line="240" w:lineRule="auto"/>
              <w:ind w:left="360" w:hanging="360"/>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 xml:space="preserve">Autoridad de Supervisión del Sistema Financiero, ASFI (s.f.). </w:t>
            </w:r>
            <w:r w:rsidRPr="00C15354">
              <w:rPr>
                <w:rFonts w:ascii="Century Gothic" w:hAnsi="Century Gothic" w:cs="Century Gothic" w:eastAsia="Century Gothic"/>
                <w:i/>
                <w:iCs/>
                <w:sz w:val="18"/>
                <w:szCs w:val="18"/>
              </w:rPr>
              <w:t>Circulares de Servicios Financieros</w:t>
            </w:r>
            <w:r w:rsidRPr="00C15354">
              <w:rPr>
                <w:rFonts w:ascii="Century Gothic" w:hAnsi="Century Gothic" w:cs="Century Gothic" w:eastAsia="Century Gothic"/>
                <w:sz w:val="18"/>
                <w:szCs w:val="18"/>
              </w:rPr>
              <w:t>. La Paz – Bolivia.</w:t>
            </w:r>
          </w:p>
          <w:p w14:paraId="78E885D9" w14:textId="77777777" w:rsidR="00EE70B8" w:rsidRPr="00C15354" w:rsidRDefault="00C15354">
            <w:pPr>
              <w:spacing w:before="10" w:after="10" w:line="240" w:lineRule="auto"/>
              <w:ind w:left="360" w:hanging="360"/>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 xml:space="preserve">Autoridad de Supervisión del Sistema Financiero. Circular ASFI </w:t>
            </w:r>
            <w:proofErr w:type="spellStart"/>
            <w:r w:rsidRPr="00C15354">
              <w:rPr>
                <w:rFonts w:ascii="Century Gothic" w:hAnsi="Century Gothic" w:cs="Century Gothic" w:eastAsia="Century Gothic"/>
                <w:sz w:val="18"/>
                <w:szCs w:val="18"/>
              </w:rPr>
              <w:t>N°</w:t>
            </w:r>
            <w:proofErr w:type="spellEnd"/>
            <w:r w:rsidRPr="00C15354">
              <w:rPr>
                <w:rFonts w:ascii="Century Gothic" w:hAnsi="Century Gothic" w:cs="Century Gothic" w:eastAsia="Century Gothic"/>
                <w:sz w:val="18"/>
                <w:szCs w:val="18"/>
              </w:rPr>
              <w:t xml:space="preserve"> 749/2022, sobre los lineamientos para la emisión de bonos verdes, sociales y sostenibles.</w:t>
            </w:r>
          </w:p>
          <w:p w14:paraId="0B63C794" w14:textId="77777777" w:rsidR="00EE70B8" w:rsidRPr="00C15354" w:rsidRDefault="00C15354">
            <w:pPr>
              <w:spacing w:before="10" w:after="10" w:line="240" w:lineRule="auto"/>
              <w:ind w:left="360" w:hanging="360"/>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Autoridad de Supervisión del Sistema Financiero. Resolución ASFI/540/2025, de 3 de julio de 2025, Reglamento para Empresas de Tecnología Financiera.</w:t>
            </w:r>
          </w:p>
          <w:p w14:paraId="0DEC220E" w14:textId="77777777" w:rsidR="00EE70B8" w:rsidRPr="00C15354" w:rsidRDefault="00C15354">
            <w:pPr>
              <w:spacing w:before="10" w:after="10" w:line="240" w:lineRule="auto"/>
              <w:ind w:left="360" w:hanging="360"/>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 xml:space="preserve">Banco Central de Bolivia. Resolución de Directorio </w:t>
            </w:r>
            <w:proofErr w:type="spellStart"/>
            <w:r w:rsidRPr="00C15354">
              <w:rPr>
                <w:rFonts w:ascii="Century Gothic" w:hAnsi="Century Gothic" w:cs="Century Gothic" w:eastAsia="Century Gothic"/>
                <w:sz w:val="18"/>
                <w:szCs w:val="18"/>
              </w:rPr>
              <w:t>N°</w:t>
            </w:r>
            <w:proofErr w:type="spellEnd"/>
            <w:r w:rsidRPr="00C15354">
              <w:rPr>
                <w:rFonts w:ascii="Century Gothic" w:hAnsi="Century Gothic" w:cs="Century Gothic" w:eastAsia="Century Gothic"/>
                <w:sz w:val="18"/>
                <w:szCs w:val="18"/>
              </w:rPr>
              <w:t xml:space="preserve"> 079/2022, de 6 de septiembre de 2022, Reglamento de Servicios de Pago, Instrumentos Electrónicos de Pago, Compensación y Liquidación.</w:t>
            </w:r>
          </w:p>
          <w:p w14:paraId="36E329C9" w14:textId="77777777" w:rsidR="00EE70B8" w:rsidRPr="00C15354" w:rsidRDefault="00C15354">
            <w:pPr>
              <w:spacing w:before="10" w:after="10" w:line="240" w:lineRule="auto"/>
              <w:ind w:left="360" w:hanging="360"/>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 xml:space="preserve">Banco Central de Bolivia. Resolución de Directorio </w:t>
            </w:r>
            <w:proofErr w:type="spellStart"/>
            <w:r w:rsidRPr="00C15354">
              <w:rPr>
                <w:rFonts w:ascii="Century Gothic" w:hAnsi="Century Gothic" w:cs="Century Gothic" w:eastAsia="Century Gothic"/>
                <w:sz w:val="18"/>
                <w:szCs w:val="18"/>
              </w:rPr>
              <w:t>N°</w:t>
            </w:r>
            <w:proofErr w:type="spellEnd"/>
            <w:r w:rsidRPr="00C15354">
              <w:rPr>
                <w:rFonts w:ascii="Century Gothic" w:hAnsi="Century Gothic" w:cs="Century Gothic" w:eastAsia="Century Gothic"/>
                <w:sz w:val="18"/>
                <w:szCs w:val="18"/>
              </w:rPr>
              <w:t xml:space="preserve"> 118/2026, de 31 de julio de 2026, que modifica el Reglamento de Encaje Legal.</w:t>
            </w:r>
          </w:p>
          <w:p w14:paraId="43C6CE6C" w14:textId="77777777" w:rsidR="00EE70B8" w:rsidRPr="00C15354" w:rsidRDefault="00C15354">
            <w:pPr>
              <w:spacing w:before="10" w:after="10" w:line="240" w:lineRule="auto"/>
              <w:ind w:left="360" w:hanging="360"/>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 xml:space="preserve">Código de Comercio, Decreto Ley </w:t>
            </w:r>
            <w:proofErr w:type="spellStart"/>
            <w:r w:rsidRPr="00C15354">
              <w:rPr>
                <w:rFonts w:ascii="Century Gothic" w:hAnsi="Century Gothic" w:cs="Century Gothic" w:eastAsia="Century Gothic"/>
                <w:sz w:val="18"/>
                <w:szCs w:val="18"/>
              </w:rPr>
              <w:t>N°</w:t>
            </w:r>
            <w:proofErr w:type="spellEnd"/>
            <w:r w:rsidRPr="00C15354">
              <w:rPr>
                <w:rFonts w:ascii="Century Gothic" w:hAnsi="Century Gothic" w:cs="Century Gothic" w:eastAsia="Century Gothic"/>
                <w:sz w:val="18"/>
                <w:szCs w:val="18"/>
              </w:rPr>
              <w:t xml:space="preserve"> 14379, de 25 de febrero de 1977.</w:t>
            </w:r>
          </w:p>
          <w:p w14:paraId="3CE9ED3C" w14:textId="77777777" w:rsidR="00EE70B8" w:rsidRPr="00C15354" w:rsidRDefault="00C15354">
            <w:pPr>
              <w:spacing w:before="10" w:after="10" w:line="240" w:lineRule="auto"/>
              <w:ind w:left="360" w:hanging="360"/>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 xml:space="preserve">Código Tributario Boliviano, Ley </w:t>
            </w:r>
            <w:proofErr w:type="spellStart"/>
            <w:r w:rsidRPr="00C15354">
              <w:rPr>
                <w:rFonts w:ascii="Century Gothic" w:hAnsi="Century Gothic" w:cs="Century Gothic" w:eastAsia="Century Gothic"/>
                <w:sz w:val="18"/>
                <w:szCs w:val="18"/>
              </w:rPr>
              <w:t>N°</w:t>
            </w:r>
            <w:proofErr w:type="spellEnd"/>
            <w:r w:rsidRPr="00C15354">
              <w:rPr>
                <w:rFonts w:ascii="Century Gothic" w:hAnsi="Century Gothic" w:cs="Century Gothic" w:eastAsia="Century Gothic"/>
                <w:sz w:val="18"/>
                <w:szCs w:val="18"/>
              </w:rPr>
              <w:t xml:space="preserve"> 2492, de 2 de agosto de 2003.</w:t>
            </w:r>
          </w:p>
          <w:p w14:paraId="753EF521" w14:textId="77777777" w:rsidR="00EE70B8" w:rsidRPr="00C15354" w:rsidRDefault="00C15354">
            <w:pPr>
              <w:spacing w:before="10" w:after="10" w:line="240" w:lineRule="auto"/>
              <w:ind w:left="360" w:hanging="360"/>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 xml:space="preserve">Colegio de Auditores o Contadores Públicos de Bolivia, CAUB – Consejo Técnico Nacional de Auditoría y Contabilidad, CTNAC (2023). </w:t>
            </w:r>
            <w:r w:rsidRPr="00C15354">
              <w:rPr>
                <w:rFonts w:ascii="Century Gothic" w:hAnsi="Century Gothic" w:cs="Century Gothic" w:eastAsia="Century Gothic"/>
                <w:i/>
                <w:iCs/>
                <w:sz w:val="18"/>
                <w:szCs w:val="18"/>
              </w:rPr>
              <w:t>Compendio de Normas de Contabilidad y Auditoría</w:t>
            </w:r>
            <w:r w:rsidRPr="00C15354">
              <w:rPr>
                <w:rFonts w:ascii="Century Gothic" w:hAnsi="Century Gothic" w:cs="Century Gothic" w:eastAsia="Century Gothic"/>
                <w:sz w:val="18"/>
                <w:szCs w:val="18"/>
              </w:rPr>
              <w:t>. Santa Cruz – Bolivia.</w:t>
            </w:r>
          </w:p>
          <w:p w14:paraId="0B4EE721" w14:textId="77777777" w:rsidR="00EE70B8" w:rsidRPr="00C15354" w:rsidRDefault="00C15354">
            <w:pPr>
              <w:spacing w:before="10" w:after="10" w:line="240" w:lineRule="auto"/>
              <w:ind w:left="360" w:hanging="360"/>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 xml:space="preserve">Decreto Supremo </w:t>
            </w:r>
            <w:proofErr w:type="spellStart"/>
            <w:r w:rsidRPr="00C15354">
              <w:rPr>
                <w:rFonts w:ascii="Century Gothic" w:hAnsi="Century Gothic" w:cs="Century Gothic" w:eastAsia="Century Gothic"/>
                <w:sz w:val="18"/>
                <w:szCs w:val="18"/>
              </w:rPr>
              <w:t>N°</w:t>
            </w:r>
            <w:proofErr w:type="spellEnd"/>
            <w:r w:rsidRPr="00C15354">
              <w:rPr>
                <w:rFonts w:ascii="Century Gothic" w:hAnsi="Century Gothic" w:cs="Century Gothic" w:eastAsia="Century Gothic"/>
                <w:sz w:val="18"/>
                <w:szCs w:val="18"/>
              </w:rPr>
              <w:t xml:space="preserve"> 0530, Aplicación del Interés Penal.</w:t>
            </w:r>
          </w:p>
          <w:p w14:paraId="6D05A571" w14:textId="77777777" w:rsidR="00EE70B8" w:rsidRPr="00C15354" w:rsidRDefault="00C15354">
            <w:pPr>
              <w:spacing w:before="10" w:after="10" w:line="240" w:lineRule="auto"/>
              <w:ind w:left="360" w:hanging="360"/>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 xml:space="preserve">Decreto Supremo </w:t>
            </w:r>
            <w:proofErr w:type="spellStart"/>
            <w:r w:rsidRPr="00C15354">
              <w:rPr>
                <w:rFonts w:ascii="Century Gothic" w:hAnsi="Century Gothic" w:cs="Century Gothic" w:eastAsia="Century Gothic"/>
                <w:sz w:val="18"/>
                <w:szCs w:val="18"/>
              </w:rPr>
              <w:t>N°</w:t>
            </w:r>
            <w:proofErr w:type="spellEnd"/>
            <w:r w:rsidRPr="00C15354">
              <w:rPr>
                <w:rFonts w:ascii="Century Gothic" w:hAnsi="Century Gothic" w:cs="Century Gothic" w:eastAsia="Century Gothic"/>
                <w:sz w:val="18"/>
                <w:szCs w:val="18"/>
              </w:rPr>
              <w:t xml:space="preserve"> 1842, Tasas de Interés y Niveles de Cartera.</w:t>
            </w:r>
          </w:p>
          <w:p w14:paraId="0CA8D2B2" w14:textId="77777777" w:rsidR="00EE70B8" w:rsidRPr="00C15354" w:rsidRDefault="00C15354">
            <w:pPr>
              <w:spacing w:before="10" w:after="10" w:line="240" w:lineRule="auto"/>
              <w:ind w:left="360" w:hanging="360"/>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 xml:space="preserve">Decreto Supremo </w:t>
            </w:r>
            <w:proofErr w:type="spellStart"/>
            <w:r w:rsidRPr="00C15354">
              <w:rPr>
                <w:rFonts w:ascii="Century Gothic" w:hAnsi="Century Gothic" w:cs="Century Gothic" w:eastAsia="Century Gothic"/>
                <w:sz w:val="18"/>
                <w:szCs w:val="18"/>
              </w:rPr>
              <w:t>N°</w:t>
            </w:r>
            <w:proofErr w:type="spellEnd"/>
            <w:r w:rsidRPr="00C15354">
              <w:rPr>
                <w:rFonts w:ascii="Century Gothic" w:hAnsi="Century Gothic" w:cs="Century Gothic" w:eastAsia="Century Gothic"/>
                <w:sz w:val="18"/>
                <w:szCs w:val="18"/>
              </w:rPr>
              <w:t xml:space="preserve"> 2055, Aplicación de Tasas de Interés Mínimas para Depósitos del Público.</w:t>
            </w:r>
          </w:p>
          <w:p w14:paraId="43A7A6D8" w14:textId="77777777" w:rsidR="00EE70B8" w:rsidRPr="00C15354" w:rsidRDefault="00C15354">
            <w:pPr>
              <w:spacing w:before="10" w:after="10" w:line="240" w:lineRule="auto"/>
              <w:ind w:left="360" w:hanging="360"/>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 xml:space="preserve">Decreto Supremo </w:t>
            </w:r>
            <w:proofErr w:type="spellStart"/>
            <w:r w:rsidRPr="00C15354">
              <w:rPr>
                <w:rFonts w:ascii="Century Gothic" w:hAnsi="Century Gothic" w:cs="Century Gothic" w:eastAsia="Century Gothic"/>
                <w:sz w:val="18"/>
                <w:szCs w:val="18"/>
              </w:rPr>
              <w:t>N°</w:t>
            </w:r>
            <w:proofErr w:type="spellEnd"/>
            <w:r w:rsidRPr="00C15354">
              <w:rPr>
                <w:rFonts w:ascii="Century Gothic" w:hAnsi="Century Gothic" w:cs="Century Gothic" w:eastAsia="Century Gothic"/>
                <w:sz w:val="18"/>
                <w:szCs w:val="18"/>
              </w:rPr>
              <w:t xml:space="preserve"> 4904, de 5 de abril de 2023, Reglamento de la Unidad de Investigaciones Financieras.</w:t>
            </w:r>
          </w:p>
          <w:p w14:paraId="11B87E72" w14:textId="77777777" w:rsidR="00EE70B8" w:rsidRPr="00C15354" w:rsidRDefault="00C15354">
            <w:pPr>
              <w:spacing w:before="10" w:after="10" w:line="240" w:lineRule="auto"/>
              <w:ind w:left="360" w:hanging="360"/>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 xml:space="preserve">Ley </w:t>
            </w:r>
            <w:proofErr w:type="spellStart"/>
            <w:r w:rsidRPr="00C15354">
              <w:rPr>
                <w:rFonts w:ascii="Century Gothic" w:hAnsi="Century Gothic" w:cs="Century Gothic" w:eastAsia="Century Gothic"/>
                <w:sz w:val="18"/>
                <w:szCs w:val="18"/>
              </w:rPr>
              <w:t>N°</w:t>
            </w:r>
            <w:proofErr w:type="spellEnd"/>
            <w:r w:rsidRPr="00C15354">
              <w:rPr>
                <w:rFonts w:ascii="Century Gothic" w:hAnsi="Century Gothic" w:cs="Century Gothic" w:eastAsia="Century Gothic"/>
                <w:sz w:val="18"/>
                <w:szCs w:val="18"/>
              </w:rPr>
              <w:t xml:space="preserve"> 1670 del Banco Central de Bolivia, de 31 de octubre de 1995.</w:t>
            </w:r>
          </w:p>
          <w:p w14:paraId="6DD783F3" w14:textId="77777777" w:rsidR="00EE70B8" w:rsidRPr="00C15354" w:rsidRDefault="00C15354">
            <w:pPr>
              <w:spacing w:before="10" w:after="10" w:line="240" w:lineRule="auto"/>
              <w:ind w:left="360" w:hanging="360"/>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 xml:space="preserve">Ley </w:t>
            </w:r>
            <w:proofErr w:type="spellStart"/>
            <w:r w:rsidRPr="00C15354">
              <w:rPr>
                <w:rFonts w:ascii="Century Gothic" w:hAnsi="Century Gothic" w:cs="Century Gothic" w:eastAsia="Century Gothic"/>
                <w:sz w:val="18"/>
                <w:szCs w:val="18"/>
              </w:rPr>
              <w:t>N°</w:t>
            </w:r>
            <w:proofErr w:type="spellEnd"/>
            <w:r w:rsidRPr="00C15354">
              <w:rPr>
                <w:rFonts w:ascii="Century Gothic" w:hAnsi="Century Gothic" w:cs="Century Gothic" w:eastAsia="Century Gothic"/>
                <w:sz w:val="18"/>
                <w:szCs w:val="18"/>
              </w:rPr>
              <w:t xml:space="preserve"> 393 de Servicios Financieros, de 21 de agosto de 2013.</w:t>
            </w:r>
          </w:p>
        </w:tc>
      </w:tr>
      <w:tr w:rsidR="00EE70B8" w14:paraId="1FB495FF" w14:textId="77777777">
        <w:tc>
          <w:tcPr>
            <w:tcW w:w="9393" w:type="dxa"/>
            <w:gridSpan w:val="16"/>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14:paraId="6485ADDA" w14:textId="77777777" w:rsidR="00EE70B8" w:rsidRPr="00C15354" w:rsidRDefault="00C15354">
            <w:pPr>
              <w:spacing w:before="20" w:after="20" w:line="240" w:lineRule="auto"/>
              <w:jc w:val="left"/>
              <w:rPr>
                <w:rFonts w:ascii="Century Gothic" w:hAnsi="Century Gothic" w:cs="Century Gothic" w:eastAsia="Century Gothic"/>
                <w:sz w:val="18"/>
                <w:szCs w:val="18"/>
              </w:rPr>
            </w:pPr>
            <w:r w:rsidRPr="00C15354">
              <w:rPr>
                <w:rFonts w:ascii="Century Gothic" w:hAnsi="Century Gothic" w:cs="Century Gothic" w:eastAsia="Century Gothic"/>
                <w:b/>
                <w:bCs/>
                <w:i/>
                <w:iCs/>
                <w:sz w:val="18"/>
                <w:szCs w:val="18"/>
              </w:rPr>
              <w:t>Bibliografía complementaria:</w:t>
            </w:r>
          </w:p>
          <w:p w14:paraId="776B6885" w14:textId="77777777" w:rsidR="00EE70B8" w:rsidRPr="00C15354" w:rsidRDefault="00C15354">
            <w:pPr>
              <w:spacing w:before="10" w:after="10" w:line="240" w:lineRule="auto"/>
              <w:ind w:left="360" w:hanging="360"/>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 xml:space="preserve">Alvarado </w:t>
            </w:r>
            <w:proofErr w:type="spellStart"/>
            <w:r w:rsidRPr="00C15354">
              <w:rPr>
                <w:rFonts w:ascii="Century Gothic" w:hAnsi="Century Gothic" w:cs="Century Gothic" w:eastAsia="Century Gothic"/>
                <w:sz w:val="18"/>
                <w:szCs w:val="18"/>
              </w:rPr>
              <w:t>Ralde</w:t>
            </w:r>
            <w:proofErr w:type="spellEnd"/>
            <w:r w:rsidRPr="00C15354">
              <w:rPr>
                <w:rFonts w:ascii="Century Gothic" w:hAnsi="Century Gothic" w:cs="Century Gothic" w:eastAsia="Century Gothic"/>
                <w:sz w:val="18"/>
                <w:szCs w:val="18"/>
              </w:rPr>
              <w:t xml:space="preserve">, H. (2023). </w:t>
            </w:r>
            <w:r w:rsidRPr="00C15354">
              <w:rPr>
                <w:rFonts w:ascii="Century Gothic" w:hAnsi="Century Gothic" w:cs="Century Gothic" w:eastAsia="Century Gothic"/>
                <w:i/>
                <w:iCs/>
                <w:sz w:val="18"/>
                <w:szCs w:val="18"/>
              </w:rPr>
              <w:t>Contabilidad para Entidades Financieras con Excel</w:t>
            </w:r>
            <w:r w:rsidRPr="00C15354">
              <w:rPr>
                <w:rFonts w:ascii="Century Gothic" w:hAnsi="Century Gothic" w:cs="Century Gothic" w:eastAsia="Century Gothic"/>
                <w:sz w:val="18"/>
                <w:szCs w:val="18"/>
              </w:rPr>
              <w:t>. La Paz – Bolivia.</w:t>
            </w:r>
          </w:p>
          <w:p w14:paraId="6E95BED5" w14:textId="77777777" w:rsidR="00EE70B8" w:rsidRPr="00C15354" w:rsidRDefault="00C15354">
            <w:pPr>
              <w:spacing w:before="10" w:after="10" w:line="240" w:lineRule="auto"/>
              <w:ind w:left="360" w:hanging="360"/>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Autoridad de Supervisión del Sistema Financiero. Boletín informativo trimestral y reportes del sistema financiero.</w:t>
            </w:r>
          </w:p>
          <w:p w14:paraId="01C6EFC9" w14:textId="77777777" w:rsidR="00EE70B8" w:rsidRPr="00C15354" w:rsidRDefault="00C15354">
            <w:pPr>
              <w:spacing w:before="10" w:after="10" w:line="240" w:lineRule="auto"/>
              <w:ind w:left="360" w:hanging="360"/>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 xml:space="preserve">Comité de Supervisión Bancaria de Basilea (2011). </w:t>
            </w:r>
            <w:r w:rsidRPr="00C15354">
              <w:rPr>
                <w:rFonts w:ascii="Century Gothic" w:hAnsi="Century Gothic" w:cs="Century Gothic" w:eastAsia="Century Gothic"/>
                <w:i/>
                <w:iCs/>
                <w:sz w:val="18"/>
                <w:szCs w:val="18"/>
              </w:rPr>
              <w:t>Basilea III: marco regulador global para reforzar los bancos y sistemas bancarios</w:t>
            </w:r>
            <w:r w:rsidRPr="00C15354">
              <w:rPr>
                <w:rFonts w:ascii="Century Gothic" w:hAnsi="Century Gothic" w:cs="Century Gothic" w:eastAsia="Century Gothic"/>
                <w:sz w:val="18"/>
                <w:szCs w:val="18"/>
              </w:rPr>
              <w:t>. Basilea: Banco de Pagos Internacionales.</w:t>
            </w:r>
          </w:p>
          <w:p w14:paraId="47E9B5FB" w14:textId="77777777" w:rsidR="00EE70B8" w:rsidRPr="00C15354" w:rsidRDefault="00C15354">
            <w:pPr>
              <w:spacing w:before="10" w:after="10" w:line="240" w:lineRule="auto"/>
              <w:ind w:left="360" w:hanging="360"/>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Consejo de Normas Internacionales de Contabilidad (IASB). NIIF 9 Instrumentos Financieros y NIIF 16 Arrendamientos.</w:t>
            </w:r>
          </w:p>
          <w:p w14:paraId="6BF72E5B" w14:textId="77777777" w:rsidR="00EE70B8" w:rsidRPr="00C15354" w:rsidRDefault="00C15354">
            <w:pPr>
              <w:spacing w:before="10" w:after="10" w:line="240" w:lineRule="auto"/>
              <w:ind w:left="360" w:hanging="360"/>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 xml:space="preserve">Mejía Flores, N. R. (2021). </w:t>
            </w:r>
            <w:r w:rsidRPr="00C15354">
              <w:rPr>
                <w:rFonts w:ascii="Century Gothic" w:hAnsi="Century Gothic" w:cs="Century Gothic" w:eastAsia="Century Gothic"/>
                <w:i/>
                <w:iCs/>
                <w:sz w:val="18"/>
                <w:szCs w:val="18"/>
              </w:rPr>
              <w:t>El ABC de la Contabilidad de Bancos y Entidades Financieras</w:t>
            </w:r>
            <w:r w:rsidRPr="00C15354">
              <w:rPr>
                <w:rFonts w:ascii="Century Gothic" w:hAnsi="Century Gothic" w:cs="Century Gothic" w:eastAsia="Century Gothic"/>
                <w:sz w:val="18"/>
                <w:szCs w:val="18"/>
              </w:rPr>
              <w:t>. La Paz – Bolivia.</w:t>
            </w:r>
          </w:p>
          <w:p w14:paraId="04BA578B" w14:textId="77777777" w:rsidR="00EE70B8" w:rsidRPr="00C15354" w:rsidRDefault="00C15354">
            <w:pPr>
              <w:spacing w:before="10" w:after="10" w:line="240" w:lineRule="auto"/>
              <w:ind w:left="360" w:hanging="360"/>
              <w:rPr>
                <w:rFonts w:ascii="Century Gothic" w:hAnsi="Century Gothic" w:cs="Century Gothic" w:eastAsia="Century Gothic"/>
                <w:sz w:val="18"/>
                <w:szCs w:val="18"/>
              </w:rPr>
            </w:pPr>
            <w:r w:rsidRPr="00C15354">
              <w:rPr>
                <w:rFonts w:ascii="Century Gothic" w:hAnsi="Century Gothic" w:cs="Century Gothic" w:eastAsia="Century Gothic"/>
                <w:sz w:val="18"/>
                <w:szCs w:val="18"/>
              </w:rPr>
              <w:t xml:space="preserve">Mendoza </w:t>
            </w:r>
            <w:proofErr w:type="spellStart"/>
            <w:r w:rsidRPr="00C15354">
              <w:rPr>
                <w:rFonts w:ascii="Century Gothic" w:hAnsi="Century Gothic" w:cs="Century Gothic" w:eastAsia="Century Gothic"/>
                <w:sz w:val="18"/>
                <w:szCs w:val="18"/>
              </w:rPr>
              <w:t>Mendoza</w:t>
            </w:r>
            <w:proofErr w:type="spellEnd"/>
            <w:r w:rsidRPr="00C15354">
              <w:rPr>
                <w:rFonts w:ascii="Century Gothic" w:hAnsi="Century Gothic" w:cs="Century Gothic" w:eastAsia="Century Gothic"/>
                <w:sz w:val="18"/>
                <w:szCs w:val="18"/>
              </w:rPr>
              <w:t xml:space="preserve">, L. A. (2023). </w:t>
            </w:r>
            <w:r w:rsidRPr="00C15354">
              <w:rPr>
                <w:rFonts w:ascii="Century Gothic" w:hAnsi="Century Gothic" w:cs="Century Gothic" w:eastAsia="Century Gothic"/>
                <w:i/>
                <w:iCs/>
                <w:sz w:val="18"/>
                <w:szCs w:val="18"/>
              </w:rPr>
              <w:t>Contabilidad de Bancos y Entidades Financieras</w:t>
            </w:r>
            <w:r w:rsidRPr="00C15354">
              <w:rPr>
                <w:rFonts w:ascii="Century Gothic" w:hAnsi="Century Gothic" w:cs="Century Gothic" w:eastAsia="Century Gothic"/>
                <w:sz w:val="18"/>
                <w:szCs w:val="18"/>
              </w:rPr>
              <w:t>. La Paz – Bolivia: Ediciones Punto e Imagen.</w:t>
            </w:r>
          </w:p>
          <w:p w14:paraId="7BBD13FC" w14:textId="77777777" w:rsidR="00EE70B8" w:rsidRPr="00C15354" w:rsidRDefault="00C15354">
            <w:pPr>
              <w:spacing w:before="10" w:after="10" w:line="240" w:lineRule="auto"/>
              <w:ind w:left="360" w:hanging="360"/>
              <w:rPr>
                <w:rFonts w:ascii="Century Gothic" w:hAnsi="Century Gothic" w:cs="Century Gothic" w:eastAsia="Century Gothic"/>
                <w:sz w:val="18"/>
                <w:szCs w:val="18"/>
              </w:rPr>
            </w:pPr>
            <w:bookmarkStart w:id="1" w:name="_fn2y8dqxjwh7" w:colFirst="0" w:colLast="0"/>
            <w:bookmarkEnd w:id="1"/>
            <w:r w:rsidRPr="00C15354">
              <w:rPr>
                <w:rFonts w:ascii="Century Gothic" w:hAnsi="Century Gothic" w:cs="Century Gothic" w:eastAsia="Century Gothic"/>
                <w:sz w:val="18"/>
                <w:szCs w:val="18"/>
              </w:rPr>
              <w:t>Sitios web oficiales: www.asfi.gob.bo, www.bcb.gob.bo, www.bbv.com.bo y www.uif.gob.bo.</w:t>
            </w:r>
          </w:p>
        </w:tc>
      </w:tr>
    </w:tbl>
    <w:p w14:paraId="6DEB1D64" w14:textId="77777777" w:rsidR="00EE70B8" w:rsidRDefault="00EE70B8">
      <w:pPr>
        <w:spacing w:line="240" w:lineRule="auto"/>
        <w:rPr>
          <w:rFonts w:ascii="Century Gothic" w:hAnsi="Century Gothic" w:cs="Century Gothic" w:eastAsia="Century Gothic"/>
          <w:sz w:val="20"/>
          <w:szCs w:val="20"/>
        </w:rPr>
      </w:pPr>
    </w:p>
    <w:sectPr w:rsidR="00EE70B8">
      <w:footerReference w:type="default" r:id="rId7"/>
      <w:headerReference w:type="default" r:id="rId10"/>
      <w:pgSz w:w="12240" w:h="15840"/>
      <w:pgMar w:top="1701" w:right="1134" w:bottom="1134" w:left="170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BCEDB" w14:textId="77777777" w:rsidR="007862E6" w:rsidRDefault="00C15354">
      <w:r>
        <w:separator/>
      </w:r>
    </w:p>
  </w:endnote>
  <w:endnote w:type="continuationSeparator" w:id="0">
    <w:p w14:paraId="2CD51A0F" w14:textId="77777777" w:rsidR="007862E6" w:rsidRDefault="00C15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99E6248-C696-4174-AA94-87194648BB3D}"/>
  </w:font>
  <w:font w:name="Calibri">
    <w:panose1 w:val="020F0502020204030204"/>
    <w:charset w:val="00"/>
    <w:family w:val="swiss"/>
    <w:pitch w:val="variable"/>
    <w:sig w:usb0="E0002AFF" w:usb1="4000ACFF" w:usb2="00000001" w:usb3="00000000" w:csb0="000001FF" w:csb1="00000000"/>
    <w:embedRegular r:id="rId2" w:fontKey="{9315F837-84A0-4E71-82E9-2276702C589B}"/>
  </w:font>
  <w:font w:name="Cambria">
    <w:panose1 w:val="02040503050406030204"/>
    <w:charset w:val="00"/>
    <w:family w:val="roman"/>
    <w:pitch w:val="variable"/>
    <w:sig w:usb0="E00006FF" w:usb1="420024FF" w:usb2="02000000" w:usb3="00000000" w:csb0="0000019F" w:csb1="00000000"/>
    <w:embedRegular r:id="rId3" w:fontKey="{657AB022-3082-4149-9FE6-0584348E7F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1BED5F" w14:textId="77777777" w:rsidR="007862E6" w:rsidRDefault="00C15354">
      <w:r>
        <w:separator/>
      </w:r>
    </w:p>
  </w:footnote>
  <w:footnote w:type="continuationSeparator" w:id="0">
    <w:p w14:paraId="2793C4FE" w14:textId="77777777" w:rsidR="007862E6" w:rsidRDefault="00C15354">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B227D"/>
    <w:multiLevelType w:val="multilevel"/>
    <w:tmpl w:val="888E16C0"/>
    <w:lvl w:ilvl="0">
      <w:start w:val="1"/>
      <w:numFmt w:val="bullet"/>
      <w:lvlText w:val=""/>
      <w:lvlJc w:val="left"/>
      <w:pPr>
        <w:ind w:left="360" w:hanging="260"/>
      </w:pPr>
      <w:rPr>
        <w:rFonts w:ascii="Wingdings" w:hAnsi="Wingdings" w:hint="default"/>
      </w:rPr>
    </w:lvl>
    <w:lvl w:ilvl="1">
      <w:start w:val="1"/>
      <w:numFmt w:val="bullet"/>
      <w:lvlText w:val="–"/>
      <w:lvlJc w:val="left"/>
      <w:pPr>
        <w:ind w:left="0" w:firstLine="0"/>
      </w:pPr>
      <w:rPr>
        <w:rFonts w:ascii="Century Gothic" w:hAnsi="Century Gothic" w:cs="Century Gothic" w:hint="default"/>
      </w:rPr>
    </w:lvl>
    <w:lvl w:ilvl="2">
      <w:start w:val="1"/>
      <w:numFmt w:val="bullet"/>
      <w:lvlText w:val=""/>
      <w:lvlJc w:val="left"/>
      <w:pPr>
        <w:ind w:left="0" w:firstLine="0"/>
      </w:pPr>
      <w:rPr>
        <w:rFonts w:ascii="Wingdings" w:hAnsi="Wingdings" w:hint="default"/>
      </w:rPr>
    </w:lvl>
    <w:lvl w:ilvl="3">
      <w:start w:val="1"/>
      <w:numFmt w:val="bullet"/>
      <w:lvlText w:val=""/>
      <w:lvlJc w:val="left"/>
      <w:pPr>
        <w:ind w:left="0" w:firstLine="0"/>
      </w:pPr>
      <w:rPr>
        <w:rFonts w:ascii="Wingdings" w:hAnsi="Wingdings" w:hint="default"/>
      </w:rPr>
    </w:lvl>
    <w:lvl w:ilvl="4">
      <w:start w:val="1"/>
      <w:numFmt w:val="bullet"/>
      <w:lvlText w:val=""/>
      <w:lvlJc w:val="left"/>
      <w:pPr>
        <w:ind w:left="0" w:firstLine="0"/>
      </w:pPr>
      <w:rPr>
        <w:rFonts w:ascii="Wingdings" w:hAnsi="Wingdings"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Wingdings" w:hAnsi="Wingdings" w:hint="default"/>
      </w:rPr>
    </w:lvl>
    <w:lvl w:ilvl="7">
      <w:start w:val="1"/>
      <w:numFmt w:val="bullet"/>
      <w:lvlText w:val=""/>
      <w:lvlJc w:val="left"/>
      <w:pPr>
        <w:ind w:left="0" w:firstLine="0"/>
      </w:pPr>
      <w:rPr>
        <w:rFonts w:ascii="Wingdings" w:hAnsi="Wingdings" w:hint="default"/>
      </w:rPr>
    </w:lvl>
    <w:lvl w:ilvl="8">
      <w:start w:val="1"/>
      <w:numFmt w:val="bullet"/>
      <w:lvlText w:val=""/>
      <w:lvlJc w:val="left"/>
      <w:pPr>
        <w:ind w:left="0" w:firstLine="0"/>
      </w:pPr>
      <w:rPr>
        <w:rFonts w:ascii="Wingdings" w:hAnsi="Wingdings" w:hint="default"/>
      </w:rPr>
    </w:lvl>
  </w:abstractNum>
  <w:abstractNum w:abstractNumId="1" w15:restartNumberingAfterBreak="0">
    <w:nsid w:val="07A57E6B"/>
    <w:multiLevelType w:val="multilevel"/>
    <w:tmpl w:val="3BEA0262"/>
    <w:lvl w:ilvl="0">
      <w:start w:val="1"/>
      <w:numFmt w:val="bullet"/>
      <w:lvlText w:val=""/>
      <w:lvlJc w:val="left"/>
      <w:pPr>
        <w:ind w:left="360" w:hanging="260"/>
      </w:pPr>
      <w:rPr>
        <w:rFonts w:ascii="Wingdings" w:hAnsi="Wingdings" w:hint="default"/>
      </w:rPr>
    </w:lvl>
    <w:lvl w:ilvl="1">
      <w:start w:val="1"/>
      <w:numFmt w:val="bullet"/>
      <w:lvlText w:val="–"/>
      <w:lvlJc w:val="left"/>
      <w:pPr>
        <w:ind w:left="0" w:firstLine="0"/>
      </w:pPr>
      <w:rPr>
        <w:rFonts w:ascii="Century Gothic" w:hAnsi="Century Gothic" w:cs="Century Gothic" w:hint="default"/>
      </w:rPr>
    </w:lvl>
    <w:lvl w:ilvl="2">
      <w:start w:val="1"/>
      <w:numFmt w:val="bullet"/>
      <w:lvlText w:val=""/>
      <w:lvlJc w:val="left"/>
      <w:pPr>
        <w:ind w:left="0" w:firstLine="0"/>
      </w:pPr>
      <w:rPr>
        <w:rFonts w:ascii="Wingdings" w:hAnsi="Wingdings" w:hint="default"/>
      </w:rPr>
    </w:lvl>
    <w:lvl w:ilvl="3">
      <w:start w:val="1"/>
      <w:numFmt w:val="bullet"/>
      <w:lvlText w:val=""/>
      <w:lvlJc w:val="left"/>
      <w:pPr>
        <w:ind w:left="0" w:firstLine="0"/>
      </w:pPr>
      <w:rPr>
        <w:rFonts w:ascii="Wingdings" w:hAnsi="Wingdings" w:hint="default"/>
      </w:rPr>
    </w:lvl>
    <w:lvl w:ilvl="4">
      <w:start w:val="1"/>
      <w:numFmt w:val="bullet"/>
      <w:lvlText w:val=""/>
      <w:lvlJc w:val="left"/>
      <w:pPr>
        <w:ind w:left="0" w:firstLine="0"/>
      </w:pPr>
      <w:rPr>
        <w:rFonts w:ascii="Wingdings" w:hAnsi="Wingdings"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Wingdings" w:hAnsi="Wingdings" w:hint="default"/>
      </w:rPr>
    </w:lvl>
    <w:lvl w:ilvl="7">
      <w:start w:val="1"/>
      <w:numFmt w:val="bullet"/>
      <w:lvlText w:val=""/>
      <w:lvlJc w:val="left"/>
      <w:pPr>
        <w:ind w:left="0" w:firstLine="0"/>
      </w:pPr>
      <w:rPr>
        <w:rFonts w:ascii="Wingdings" w:hAnsi="Wingdings" w:hint="default"/>
      </w:rPr>
    </w:lvl>
    <w:lvl w:ilvl="8">
      <w:start w:val="1"/>
      <w:numFmt w:val="bullet"/>
      <w:lvlText w:val=""/>
      <w:lvlJc w:val="left"/>
      <w:pPr>
        <w:ind w:left="0" w:firstLine="0"/>
      </w:pPr>
      <w:rPr>
        <w:rFonts w:ascii="Wingdings" w:hAnsi="Wingdings" w:hint="default"/>
      </w:rPr>
    </w:lvl>
  </w:abstractNum>
  <w:abstractNum w:abstractNumId="2" w15:restartNumberingAfterBreak="0">
    <w:nsid w:val="0EBD0FB3"/>
    <w:multiLevelType w:val="multilevel"/>
    <w:tmpl w:val="DBC6D734"/>
    <w:lvl w:ilvl="0">
      <w:start w:val="1"/>
      <w:numFmt w:val="decimal"/>
      <w:lvlText w:val="%1."/>
      <w:lvlJc w:val="left"/>
      <w:pPr>
        <w:ind w:left="400" w:hanging="38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26583CED"/>
    <w:multiLevelType w:val="multilevel"/>
    <w:tmpl w:val="2E106820"/>
    <w:lvl w:ilvl="0">
      <w:start w:val="1"/>
      <w:numFmt w:val="decimal"/>
      <w:lvlText w:val="%1."/>
      <w:lvlJc w:val="left"/>
      <w:pPr>
        <w:ind w:left="500" w:hanging="400"/>
      </w:pPr>
    </w:lvl>
    <w:lvl w:ilvl="1">
      <w:start w:val="1"/>
      <w:numFmt w:val="bullet"/>
      <w:lvlText w:val="–"/>
      <w:lvlJc w:val="left"/>
      <w:pPr>
        <w:ind w:left="0" w:firstLine="0"/>
      </w:pPr>
      <w:rPr>
        <w:rFonts w:ascii="Century Gothic" w:hAnsi="Century Gothic" w:cs="Century Gothic" w:hint="default"/>
      </w:rPr>
    </w:lvl>
    <w:lvl w:ilvl="2">
      <w:start w:val="1"/>
      <w:numFmt w:val="bullet"/>
      <w:lvlText w:val=""/>
      <w:lvlJc w:val="left"/>
      <w:pPr>
        <w:ind w:left="0" w:firstLine="0"/>
      </w:pPr>
      <w:rPr>
        <w:rFonts w:ascii="Wingdings" w:hAnsi="Wingdings" w:hint="default"/>
      </w:rPr>
    </w:lvl>
    <w:lvl w:ilvl="3">
      <w:start w:val="1"/>
      <w:numFmt w:val="bullet"/>
      <w:lvlText w:val=""/>
      <w:lvlJc w:val="left"/>
      <w:pPr>
        <w:ind w:left="0" w:firstLine="0"/>
      </w:pPr>
      <w:rPr>
        <w:rFonts w:ascii="Wingdings" w:hAnsi="Wingdings" w:hint="default"/>
      </w:rPr>
    </w:lvl>
    <w:lvl w:ilvl="4">
      <w:start w:val="1"/>
      <w:numFmt w:val="bullet"/>
      <w:lvlText w:val=""/>
      <w:lvlJc w:val="left"/>
      <w:pPr>
        <w:ind w:left="0" w:firstLine="0"/>
      </w:pPr>
      <w:rPr>
        <w:rFonts w:ascii="Wingdings" w:hAnsi="Wingdings"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Wingdings" w:hAnsi="Wingdings" w:hint="default"/>
      </w:rPr>
    </w:lvl>
    <w:lvl w:ilvl="7">
      <w:start w:val="1"/>
      <w:numFmt w:val="bullet"/>
      <w:lvlText w:val=""/>
      <w:lvlJc w:val="left"/>
      <w:pPr>
        <w:ind w:left="0" w:firstLine="0"/>
      </w:pPr>
      <w:rPr>
        <w:rFonts w:ascii="Wingdings" w:hAnsi="Wingdings" w:hint="default"/>
      </w:rPr>
    </w:lvl>
    <w:lvl w:ilvl="8">
      <w:start w:val="1"/>
      <w:numFmt w:val="bullet"/>
      <w:lvlText w:val=""/>
      <w:lvlJc w:val="left"/>
      <w:pPr>
        <w:ind w:left="0" w:firstLine="0"/>
      </w:pPr>
      <w:rPr>
        <w:rFonts w:ascii="Wingdings" w:hAnsi="Wingdings" w:hint="default"/>
      </w:rPr>
    </w:lvl>
  </w:abstractNum>
  <w:abstractNum w:abstractNumId="4" w15:restartNumberingAfterBreak="0">
    <w:nsid w:val="2B150E53"/>
    <w:multiLevelType w:val="multilevel"/>
    <w:tmpl w:val="861A317C"/>
    <w:lvl w:ilvl="0">
      <w:start w:val="1"/>
      <w:numFmt w:val="decimal"/>
      <w:lvlText w:val="%1."/>
      <w:lvlJc w:val="left"/>
      <w:pPr>
        <w:ind w:left="420" w:hanging="420"/>
      </w:pPr>
    </w:lvl>
    <w:lvl w:ilvl="1">
      <w:start w:val="1"/>
      <w:numFmt w:val="bullet"/>
      <w:lvlText w:val="–"/>
      <w:lvlJc w:val="left"/>
      <w:pPr>
        <w:ind w:left="0" w:firstLine="0"/>
      </w:pPr>
      <w:rPr>
        <w:rFonts w:ascii="Century Gothic" w:hAnsi="Century Gothic" w:cs="Century Gothic" w:hint="default"/>
      </w:rPr>
    </w:lvl>
    <w:lvl w:ilvl="2">
      <w:start w:val="1"/>
      <w:numFmt w:val="bullet"/>
      <w:lvlText w:val=""/>
      <w:lvlJc w:val="left"/>
      <w:pPr>
        <w:ind w:left="0" w:firstLine="0"/>
      </w:pPr>
      <w:rPr>
        <w:rFonts w:ascii="Wingdings" w:hAnsi="Wingdings" w:hint="default"/>
      </w:rPr>
    </w:lvl>
    <w:lvl w:ilvl="3">
      <w:start w:val="1"/>
      <w:numFmt w:val="bullet"/>
      <w:lvlText w:val=""/>
      <w:lvlJc w:val="left"/>
      <w:pPr>
        <w:ind w:left="0" w:firstLine="0"/>
      </w:pPr>
      <w:rPr>
        <w:rFonts w:ascii="Wingdings" w:hAnsi="Wingdings" w:hint="default"/>
      </w:rPr>
    </w:lvl>
    <w:lvl w:ilvl="4">
      <w:start w:val="1"/>
      <w:numFmt w:val="bullet"/>
      <w:lvlText w:val=""/>
      <w:lvlJc w:val="left"/>
      <w:pPr>
        <w:ind w:left="0" w:firstLine="0"/>
      </w:pPr>
      <w:rPr>
        <w:rFonts w:ascii="Wingdings" w:hAnsi="Wingdings"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Wingdings" w:hAnsi="Wingdings" w:hint="default"/>
      </w:rPr>
    </w:lvl>
    <w:lvl w:ilvl="7">
      <w:start w:val="1"/>
      <w:numFmt w:val="bullet"/>
      <w:lvlText w:val=""/>
      <w:lvlJc w:val="left"/>
      <w:pPr>
        <w:ind w:left="0" w:firstLine="0"/>
      </w:pPr>
      <w:rPr>
        <w:rFonts w:ascii="Wingdings" w:hAnsi="Wingdings" w:hint="default"/>
      </w:rPr>
    </w:lvl>
    <w:lvl w:ilvl="8">
      <w:start w:val="1"/>
      <w:numFmt w:val="bullet"/>
      <w:lvlText w:val=""/>
      <w:lvlJc w:val="left"/>
      <w:pPr>
        <w:ind w:left="0" w:firstLine="0"/>
      </w:pPr>
      <w:rPr>
        <w:rFonts w:ascii="Wingdings" w:hAnsi="Wingdings" w:hint="default"/>
      </w:rPr>
    </w:lvl>
  </w:abstractNum>
  <w:abstractNum w:abstractNumId="5" w15:restartNumberingAfterBreak="0">
    <w:nsid w:val="51597770"/>
    <w:multiLevelType w:val="multilevel"/>
    <w:tmpl w:val="8E5CE662"/>
    <w:lvl w:ilvl="0">
      <w:start w:val="1"/>
      <w:numFmt w:val="bullet"/>
      <w:lvlText w:val=""/>
      <w:lvlJc w:val="left"/>
      <w:pPr>
        <w:ind w:left="260" w:hanging="220"/>
      </w:pPr>
      <w:rPr>
        <w:rFonts w:ascii="Wingdings" w:hAnsi="Wingdings" w:hint="default"/>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73665E00"/>
    <w:multiLevelType w:val="multilevel"/>
    <w:tmpl w:val="CD245212"/>
    <w:lvl w:ilvl="0">
      <w:start w:val="1"/>
      <w:numFmt w:val="decimal"/>
      <w:lvlText w:val="%1."/>
      <w:lvlJc w:val="left"/>
      <w:pPr>
        <w:ind w:left="420" w:hanging="420"/>
      </w:pPr>
    </w:lvl>
    <w:lvl w:ilvl="1">
      <w:start w:val="1"/>
      <w:numFmt w:val="bullet"/>
      <w:lvlText w:val="–"/>
      <w:lvlJc w:val="left"/>
      <w:pPr>
        <w:ind w:left="0" w:firstLine="0"/>
      </w:pPr>
      <w:rPr>
        <w:rFonts w:ascii="Century Gothic" w:hAnsi="Century Gothic" w:cs="Century Gothic" w:hint="default"/>
      </w:rPr>
    </w:lvl>
    <w:lvl w:ilvl="2">
      <w:start w:val="1"/>
      <w:numFmt w:val="bullet"/>
      <w:lvlText w:val=""/>
      <w:lvlJc w:val="left"/>
      <w:pPr>
        <w:ind w:left="0" w:firstLine="0"/>
      </w:pPr>
      <w:rPr>
        <w:rFonts w:ascii="Wingdings" w:hAnsi="Wingdings" w:hint="default"/>
      </w:rPr>
    </w:lvl>
    <w:lvl w:ilvl="3">
      <w:start w:val="1"/>
      <w:numFmt w:val="bullet"/>
      <w:lvlText w:val=""/>
      <w:lvlJc w:val="left"/>
      <w:pPr>
        <w:ind w:left="0" w:firstLine="0"/>
      </w:pPr>
      <w:rPr>
        <w:rFonts w:ascii="Wingdings" w:hAnsi="Wingdings" w:hint="default"/>
      </w:rPr>
    </w:lvl>
    <w:lvl w:ilvl="4">
      <w:start w:val="1"/>
      <w:numFmt w:val="bullet"/>
      <w:lvlText w:val=""/>
      <w:lvlJc w:val="left"/>
      <w:pPr>
        <w:ind w:left="0" w:firstLine="0"/>
      </w:pPr>
      <w:rPr>
        <w:rFonts w:ascii="Wingdings" w:hAnsi="Wingdings"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Wingdings" w:hAnsi="Wingdings" w:hint="default"/>
      </w:rPr>
    </w:lvl>
    <w:lvl w:ilvl="7">
      <w:start w:val="1"/>
      <w:numFmt w:val="bullet"/>
      <w:lvlText w:val=""/>
      <w:lvlJc w:val="left"/>
      <w:pPr>
        <w:ind w:left="0" w:firstLine="0"/>
      </w:pPr>
      <w:rPr>
        <w:rFonts w:ascii="Wingdings" w:hAnsi="Wingdings" w:hint="default"/>
      </w:rPr>
    </w:lvl>
    <w:lvl w:ilvl="8">
      <w:start w:val="1"/>
      <w:numFmt w:val="bullet"/>
      <w:lvlText w:val=""/>
      <w:lvlJc w:val="left"/>
      <w:pPr>
        <w:ind w:left="0" w:firstLine="0"/>
      </w:pPr>
      <w:rPr>
        <w:rFonts w:ascii="Wingdings" w:hAnsi="Wingdings" w:hint="default"/>
      </w:rPr>
    </w:lvl>
  </w:abstractNum>
  <w:abstractNum w:abstractNumId="7" w15:restartNumberingAfterBreak="0">
    <w:nsid w:val="7F744D72"/>
    <w:multiLevelType w:val="multilevel"/>
    <w:tmpl w:val="AC781C68"/>
    <w:lvl w:ilvl="0">
      <w:start w:val="1"/>
      <w:numFmt w:val="decimal"/>
      <w:lvlText w:val="%1."/>
      <w:lvlJc w:val="left"/>
      <w:pPr>
        <w:ind w:left="400" w:hanging="38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4"/>
  </w:num>
  <w:num w:numId="2">
    <w:abstractNumId w:val="6"/>
  </w:num>
  <w:num w:numId="3">
    <w:abstractNumId w:val="0"/>
  </w:num>
  <w:num w:numId="4">
    <w:abstractNumId w:val="3"/>
  </w:num>
  <w:num w:numId="5">
    <w:abstractNumId w:val="1"/>
  </w:num>
  <w:num w:numId="6">
    <w:abstractNumId w:val="5"/>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0B8"/>
    <w:rsid w:val="007862E6"/>
    <w:rsid w:val="00906D7D"/>
    <w:rsid w:val="00C15354"/>
    <w:rsid w:val="00C80536"/>
    <w:rsid w:val="00EE70B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A613E"/>
  <w15:docId w15:val="{8166C845-3E7B-48D5-9674-5F0692C28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Gothic" w:eastAsia="Century Gothic" w:hAnsi="Century Gothic" w:cs="Century Gothic"/>
        <w:sz w:val="21"/>
        <w:szCs w:val="21"/>
        <w:lang w:val="es-BO" w:eastAsia="es-BO" w:bidi="ar-SA"/>
      </w:rPr>
    </w:rPrDefault>
    <w:pPrDefault>
      <w:pPr>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entury Gothic" w:hAnsi="Century Gothic"/>
      <w:sz w:val="20"/>
    </w:rPr>
  </w:style>
  <w:style w:type="paragraph" w:styleId="Ttulo1">
    <w:name w:val="heading 1"/>
    <w:basedOn w:val="Normal"/>
    <w:next w:val="Normal"/>
    <w:uiPriority w:val="9"/>
    <w:qFormat/>
    <w:pPr>
      <w:keepNext/>
      <w:keepLines/>
      <w:spacing w:before="480" w:after="120"/>
      <w:outlineLvl w:val="0"/>
    </w:pPr>
    <w:rPr>
      <w:rFonts w:ascii="Century Gothic" w:hAnsi="Century Gothic" w:cs="Century Gothic" w:eastAsia="Century Gothic"/>
      <w:b/>
      <w:bCs/>
      <w:sz w:val="48"/>
      <w:szCs w:val="48"/>
    </w:rPr>
  </w:style>
  <w:style w:type="paragraph" w:styleId="Ttulo2">
    <w:name w:val="heading 2"/>
    <w:basedOn w:val="Normal"/>
    <w:next w:val="Normal"/>
    <w:uiPriority w:val="9"/>
    <w:semiHidden/>
    <w:unhideWhenUsed/>
    <w:qFormat/>
    <w:pPr>
      <w:keepNext/>
      <w:keepLines/>
      <w:spacing w:before="360" w:after="80"/>
      <w:outlineLvl w:val="1"/>
    </w:pPr>
    <w:rPr>
      <w:rFonts w:ascii="Century Gothic" w:hAnsi="Century Gothic" w:cs="Century Gothic" w:eastAsia="Century Gothic"/>
      <w:b/>
      <w:bCs/>
      <w:sz w:val="36"/>
      <w:szCs w:val="36"/>
    </w:rPr>
  </w:style>
  <w:style w:type="paragraph" w:styleId="Ttulo3">
    <w:name w:val="heading 3"/>
    <w:basedOn w:val="Normal"/>
    <w:next w:val="Normal"/>
    <w:uiPriority w:val="9"/>
    <w:semiHidden/>
    <w:unhideWhenUsed/>
    <w:qFormat/>
    <w:pPr>
      <w:keepNext/>
      <w:keepLines/>
      <w:spacing w:before="280" w:after="80"/>
      <w:outlineLvl w:val="2"/>
    </w:pPr>
    <w:rPr>
      <w:rFonts w:ascii="Century Gothic" w:hAnsi="Century Gothic" w:cs="Century Gothic" w:eastAsia="Century Gothic"/>
      <w:b/>
      <w:bCs/>
      <w:sz w:val="28"/>
      <w:szCs w:val="28"/>
    </w:rPr>
  </w:style>
  <w:style w:type="paragraph" w:styleId="Ttulo4">
    <w:name w:val="heading 4"/>
    <w:basedOn w:val="Normal"/>
    <w:next w:val="Normal"/>
    <w:uiPriority w:val="9"/>
    <w:semiHidden/>
    <w:unhideWhenUsed/>
    <w:qFormat/>
    <w:pPr>
      <w:keepNext/>
      <w:keepLines/>
      <w:spacing w:before="240" w:after="40"/>
      <w:outlineLvl w:val="3"/>
    </w:pPr>
    <w:rPr>
      <w:rFonts w:ascii="Century Gothic" w:hAnsi="Century Gothic" w:cs="Century Gothic" w:eastAsia="Century Gothic"/>
      <w:b/>
      <w:bCs/>
      <w:sz w:val="24"/>
      <w:szCs w:val="24"/>
    </w:rPr>
  </w:style>
  <w:style w:type="paragraph" w:styleId="Ttulo5">
    <w:name w:val="heading 5"/>
    <w:basedOn w:val="Normal"/>
    <w:next w:val="Normal"/>
    <w:uiPriority w:val="9"/>
    <w:semiHidden/>
    <w:unhideWhenUsed/>
    <w:qFormat/>
    <w:pPr>
      <w:keepNext/>
      <w:keepLines/>
      <w:spacing w:before="220" w:after="40"/>
      <w:outlineLvl w:val="4"/>
    </w:pPr>
    <w:rPr>
      <w:rFonts w:ascii="Century Gothic" w:hAnsi="Century Gothic" w:cs="Century Gothic" w:eastAsia="Century Gothic"/>
      <w:b/>
      <w:bCs/>
      <w:sz w:val="22"/>
      <w:szCs w:val="22"/>
    </w:rPr>
  </w:style>
  <w:style w:type="paragraph" w:styleId="Ttulo6">
    <w:name w:val="heading 6"/>
    <w:basedOn w:val="Normal"/>
    <w:next w:val="Normal"/>
    <w:uiPriority w:val="9"/>
    <w:semiHidden/>
    <w:unhideWhenUsed/>
    <w:qFormat/>
    <w:pPr>
      <w:keepNext/>
      <w:keepLines/>
      <w:spacing w:before="200" w:after="40"/>
      <w:outlineLvl w:val="5"/>
    </w:pPr>
    <w:rPr>
      <w:rFonts w:ascii="Century Gothic" w:hAnsi="Century Gothic" w:cs="Century Gothic" w:eastAsia="Century Gothic"/>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jc w:val="left"/>
    </w:pPr>
    <w:rPr>
      <w:rFonts w:ascii="Century Gothic" w:hAnsi="Century Gothic" w:cs="Century Gothic" w:eastAsia="Century Gothic"/>
      <w:sz w:val="56"/>
      <w:szCs w:val="56"/>
    </w:rPr>
  </w:style>
  <w:style w:type="paragraph" w:styleId="Subttulo">
    <w:name w:val="Subtitle"/>
    <w:basedOn w:val="Normal"/>
    <w:next w:val="Normal"/>
    <w:uiPriority w:val="11"/>
    <w:qFormat/>
    <w:pPr>
      <w:keepNext/>
      <w:keepLines/>
      <w:spacing w:before="360" w:after="80"/>
    </w:pPr>
    <w:rPr>
      <w:rFonts w:ascii="Century Gothic" w:eastAsia="Century Gothic" w:hAnsi="Century Gothic" w:cs="Century Gothic"/>
      <w:i/>
      <w:iCs/>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6999</Words>
  <Characters>38500</Characters>
  <Application>Microsoft Office Word</Application>
  <DocSecurity>0</DocSecurity>
  <Lines>320</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mariachipana385@gmail.com</cp:lastModifiedBy>
  <cp:revision>3</cp:revision>
  <dcterms:created xsi:type="dcterms:W3CDTF">2026-10-09T19:51:00Z</dcterms:created>
  <dcterms:modified xsi:type="dcterms:W3CDTF">2026-10-09T20:36:00Z</dcterms:modified>
</cp:coreProperties>
</file>