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spacing w:before="0" w:after="0" w:line="240" w:lineRule="auto"/>
        <w:jc w:val="center"/>
      </w:pPr>
      <w:r>
        <w:rPr>
          <w:rFonts w:ascii="Century Gothic" w:hAnsi="Century Gothic" w:cs="Century Gothic" w:eastAsia="Century Gothic"/>
          <w:b/>
          <w:sz w:val="28"/>
        </w:rPr>
        <w:t>Diseño Curricular</w:t>
      </w:r>
    </w:p>
    <w:p>
      <w:pPr>
        <w:spacing w:before="0" w:after="360" w:line="240" w:lineRule="auto"/>
        <w:jc w:val="center"/>
      </w:pPr>
      <w:r>
        <w:rPr>
          <w:rFonts w:ascii="Century Gothic" w:hAnsi="Century Gothic" w:cs="Century Gothic" w:eastAsia="Century Gothic"/>
          <w:b/>
          <w:sz w:val="28"/>
        </w:rPr>
        <w:t>Aspectos Académicos</w:t>
      </w:r>
    </w:p>
    <w:p w:rsidR="00B80A7C" w:rsidRPr="007C5293" w:rsidRDefault="00000000">
      <w:pPr>
        <w:spacing w:after="60" w:line="240" w:lineRule="auto"/>
        <w:rPr>
          <w:rFonts w:ascii="Century Gothic" w:hAnsi="Century Gothic" w:cs="Century Gothic" w:eastAsia="Century Gothic"/>
          <w:sz w:val="20"/>
          <w:szCs w:val="20"/>
          <w:lang w:val="es-ES"/>
        </w:rPr>
      </w:pPr>
      <w:r w:rsidRPr="007C5293">
        <w:rPr>
          <w:rFonts w:ascii="Century Gothic" w:hAnsi="Century Gothic" w:cs="Century Gothic" w:eastAsia="Century Gothic"/>
          <w:i/>
          <w:iCs/>
          <w:sz w:val="20"/>
          <w:szCs w:val="20"/>
          <w:lang w:val="es-ES"/>
        </w:rPr>
        <w:t>Nivel: Licenciatura en Contaduría Pública</w:t>
      </w:r>
    </w:p>
    <w:p w:rsidR="00B80A7C" w:rsidRPr="007C5293" w:rsidRDefault="00000000">
      <w:pPr>
        <w:spacing w:after="60" w:line="240" w:lineRule="auto"/>
        <w:jc w:val="center"/>
        <w:rPr>
          <w:rFonts w:ascii="Century Gothic" w:hAnsi="Century Gothic" w:cs="Century Gothic" w:eastAsia="Century Gothic"/>
          <w:sz w:val="20"/>
          <w:szCs w:val="20"/>
          <w:lang w:val="es-ES"/>
        </w:rPr>
      </w:pPr>
      <w:r w:rsidRPr="007C5293">
        <w:rPr>
          <w:rFonts w:ascii="Century Gothic" w:hAnsi="Century Gothic" w:cs="Century Gothic" w:eastAsia="Century Gothic"/>
          <w:b/>
          <w:bCs/>
          <w:sz w:val="20"/>
          <w:szCs w:val="20"/>
          <w:lang w:val="es-ES"/>
        </w:rPr>
        <w:t>CUARTO AÑO</w:t>
      </w:r>
    </w:p>
    <w:tbl>
      <w:tblPr>
        <w:tblW w:w="9405" w:type="dxa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75"/>
        <w:gridCol w:w="391"/>
        <w:gridCol w:w="783"/>
        <w:gridCol w:w="783"/>
        <w:gridCol w:w="391"/>
        <w:gridCol w:w="1175"/>
        <w:gridCol w:w="783"/>
        <w:gridCol w:w="391"/>
        <w:gridCol w:w="391"/>
        <w:gridCol w:w="391"/>
        <w:gridCol w:w="391"/>
        <w:gridCol w:w="391"/>
        <w:gridCol w:w="391"/>
        <w:gridCol w:w="1567"/>
      </w:tblGrid>
      <w:tr w:rsidR="007C5293" w:rsidRPr="007C5293"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Asignatura</w:t>
            </w:r>
            <w:proofErr w:type="spellEnd"/>
          </w:p>
        </w:tc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Sigla</w:t>
            </w:r>
          </w:p>
        </w:tc>
        <w:tc>
          <w:tcPr>
            <w:tcW w:w="2347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Nivel/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Área</w:t>
            </w:r>
            <w:proofErr w:type="spellEnd"/>
          </w:p>
        </w:tc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Prerrequisito</w:t>
            </w:r>
            <w:proofErr w:type="spellEnd"/>
          </w:p>
        </w:tc>
      </w:tr>
      <w:tr w:rsidR="007C5293" w:rsidRPr="007C5293"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Auditoría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Financiera</w:t>
            </w:r>
            <w:proofErr w:type="spellEnd"/>
          </w:p>
        </w:tc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CPA-407</w:t>
            </w:r>
          </w:p>
        </w:tc>
        <w:tc>
          <w:tcPr>
            <w:tcW w:w="2347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Aseguramiento</w:t>
            </w:r>
            <w:proofErr w:type="spellEnd"/>
          </w:p>
        </w:tc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CPA-301 a CPA-304</w:t>
            </w:r>
          </w:p>
        </w:tc>
      </w:tr>
      <w:tr w:rsidR="007C5293" w:rsidRPr="007C5293">
        <w:tc>
          <w:tcPr>
            <w:tcW w:w="7045" w:type="dxa"/>
            <w:gridSpan w:val="11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Carga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Horaria</w:t>
            </w:r>
            <w:proofErr w:type="spellEnd"/>
          </w:p>
        </w:tc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Créditos</w:t>
            </w:r>
            <w:proofErr w:type="spellEnd"/>
          </w:p>
        </w:tc>
      </w:tr>
      <w:tr w:rsidR="007C5293" w:rsidRPr="007C5293">
        <w:tc>
          <w:tcPr>
            <w:tcW w:w="117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HP</w:t>
            </w:r>
          </w:p>
          <w:p w:rsidR="00B80A7C" w:rsidRPr="007C529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HORAS PRESENCIALES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  <w:lang w:val="es-ES"/>
              </w:rPr>
              <w:t>HAA</w:t>
            </w:r>
          </w:p>
          <w:p w:rsidR="00B80A7C" w:rsidRPr="007C529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HORAS DE APRENDIZAJE AUTÓNOMO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  <w:lang w:val="es-ES"/>
              </w:rPr>
              <w:t>HTG</w:t>
            </w:r>
          </w:p>
          <w:p w:rsidR="00B80A7C" w:rsidRPr="007C529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HORAS DE TRABAJO EN GRUPO</w:t>
            </w:r>
          </w:p>
        </w:tc>
        <w:tc>
          <w:tcPr>
            <w:tcW w:w="117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  <w:lang w:val="es-ES"/>
              </w:rPr>
              <w:t>HIP</w:t>
            </w:r>
          </w:p>
          <w:p w:rsidR="00B80A7C" w:rsidRPr="007C529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HORAS DE INVESTIGACIÓN Y PRÁCTICA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HE</w:t>
            </w:r>
          </w:p>
          <w:p w:rsidR="00B80A7C" w:rsidRPr="007C529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HORAS DE EVALUACIÓN</w:t>
            </w:r>
          </w:p>
        </w:tc>
        <w:tc>
          <w:tcPr>
            <w:tcW w:w="1173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TOTAL</w:t>
            </w:r>
          </w:p>
        </w:tc>
        <w:tc>
          <w:tcPr>
            <w:tcW w:w="2349" w:type="dxa"/>
            <w:gridSpan w:val="3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B80A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8</w:t>
            </w:r>
          </w:p>
        </w:tc>
      </w:tr>
      <w:tr w:rsidR="007C5293" w:rsidRPr="007C5293">
        <w:tc>
          <w:tcPr>
            <w:tcW w:w="117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CE51A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160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CE51A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32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CE51A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8</w:t>
            </w:r>
          </w:p>
        </w:tc>
        <w:tc>
          <w:tcPr>
            <w:tcW w:w="117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CE51A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32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CE51A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8</w:t>
            </w:r>
          </w:p>
        </w:tc>
        <w:tc>
          <w:tcPr>
            <w:tcW w:w="1173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CE51A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240</w:t>
            </w:r>
          </w:p>
        </w:tc>
        <w:tc>
          <w:tcPr>
            <w:tcW w:w="2349" w:type="dxa"/>
            <w:gridSpan w:val="3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B80A7C" w:rsidRPr="007C5293" w:rsidRDefault="00B80A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7C5293" w:rsidRPr="007C5293">
        <w:tc>
          <w:tcPr>
            <w:tcW w:w="9394" w:type="dxa"/>
            <w:gridSpan w:val="1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Unidad de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Competencia</w:t>
            </w:r>
            <w:proofErr w:type="spellEnd"/>
          </w:p>
        </w:tc>
      </w:tr>
      <w:tr w:rsidR="007C5293" w:rsidRPr="007C5293">
        <w:tc>
          <w:tcPr>
            <w:tcW w:w="9394" w:type="dxa"/>
            <w:gridSpan w:val="1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242B49" w:rsidRPr="007C5293" w:rsidRDefault="00242B49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Planifica, ejecuta </w:t>
            </w:r>
            <w:r w:rsidR="00ED3F66"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y concluye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auditorías de estados financieros de propósito general conforme a las Normas de Auditoría Generalmente Aceptadas en Bolivia (NCGA) y las Normas Internacionales de Auditoría (NIA del IAASB), evaluando los riesgos de incorrección material</w:t>
            </w:r>
            <w:r w:rsidR="00ED3F66"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y diseñando respuestas a dichos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riesgos para obtener evidencia suficiente y adecuada, documentar el encargo</w:t>
            </w:r>
            <w:r w:rsidR="00ED3F66"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,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emitir el informe del auditor independiente y la carta de recomendaciones, actuando con escepticismo profesional, independencia e integridad</w:t>
            </w:r>
            <w:r w:rsidR="00ED3F66"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.</w:t>
            </w:r>
          </w:p>
        </w:tc>
      </w:tr>
      <w:tr w:rsidR="007C5293" w:rsidRPr="007C5293">
        <w:trPr/>
        <w:tc>
          <w:tcPr>
            <w:tcW w:w="9394" w:type="dxa"/>
            <w:gridSpan w:val="1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D3F66" w:rsidRPr="007C5293" w:rsidRDefault="00000000" w:rsidP="00ED3F6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  <w:lang w:val="es-ES"/>
              </w:rPr>
              <w:t xml:space="preserve">Elemento de competencia 1: </w:t>
            </w:r>
            <w:r w:rsidR="00ED3F66"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Diferencia y</w:t>
            </w:r>
            <w:r w:rsidR="0047413E"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clasifica</w:t>
            </w:r>
            <w:r w:rsidR="00ED3F66"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los marcos de información financiera de propósito general y de propósito específico —</w:t>
            </w:r>
            <w:r w:rsidR="0027193B"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de </w:t>
            </w:r>
            <w:r w:rsidR="00ED3F66"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presentación razonable y de cumplimiento— aplicables en Bolivia y </w:t>
            </w:r>
            <w:r w:rsidR="0027193B"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a nivel</w:t>
            </w:r>
            <w:r w:rsidR="00ED3F66"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internacional, para determinar la </w:t>
            </w:r>
            <w:r w:rsidR="0047413E"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base normativa utilizada en la preparación de los </w:t>
            </w:r>
            <w:r w:rsidR="00ED3F66"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estados financieros</w:t>
            </w:r>
            <w:r w:rsidR="0027193B"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.</w:t>
            </w:r>
          </w:p>
        </w:tc>
      </w:tr>
      <w:tr w:rsidR="007C5293" w:rsidRPr="007C5293">
        <w:tc>
          <w:tcPr>
            <w:tcW w:w="3132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de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desempeño</w:t>
            </w:r>
            <w:proofErr w:type="spellEnd"/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de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desempeño</w:t>
            </w:r>
            <w:proofErr w:type="spellEnd"/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de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producto</w:t>
            </w:r>
            <w:proofErr w:type="spellEnd"/>
          </w:p>
        </w:tc>
      </w:tr>
      <w:tr w:rsidR="007C5293" w:rsidRPr="007C5293">
        <w:trPr/>
        <w:tc>
          <w:tcPr>
            <w:tcW w:w="3132" w:type="dxa"/>
            <w:gridSpan w:val="4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1. </w:t>
            </w:r>
            <w:r w:rsidR="0027193B"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Clasifica y contrasta los marcos de información financiera de propósito general (NCGA en Bolivia, Normas NIIF de Contabilidad y NIIF para las PYMES) y de propósito específico, </w:t>
            </w:r>
            <w:r w:rsidR="0047413E"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distinguiendo sus características </w:t>
            </w:r>
            <w:r w:rsidR="0027193B"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entre marcos de presentación razonable y de cumplimiento.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1.1 </w:t>
            </w:r>
            <w:r w:rsidR="00AD309E"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Sustenta técnicamente la clasificación y diferencias entre marcos de propósito general y específico, argumentando el impacto de elegir un marco de presentación razonable o de cumplimiento.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  <w:lang w:val="es-ES"/>
              </w:rPr>
              <w:t xml:space="preserve">Producto 1: </w:t>
            </w:r>
            <w:r w:rsidR="00E32A5B"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Matriz comparativa de clasificación de marcos de información financiera aplicables</w:t>
            </w:r>
            <w:r w:rsidR="00AD309E"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, detallando para cada uno: usuarios principales, objetivo, alcance y naturaleza (presentación razonable o cumplimiento)</w:t>
            </w:r>
            <w:r w:rsidR="00E32A5B"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.</w:t>
            </w:r>
          </w:p>
        </w:tc>
      </w:tr>
      <w:tr w:rsidR="007C5293" w:rsidRPr="007C5293">
        <w:trPr/>
        <w:tc>
          <w:tcPr>
            <w:tcW w:w="3132" w:type="dxa"/>
            <w:gridSpan w:val="4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B80A7C" w:rsidRPr="007C5293" w:rsidRDefault="00B80A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1.2 </w:t>
            </w:r>
            <w:r w:rsidR="00AD309E"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Argumenta y defiende la postura técnica en un debate de casos donde existen controversias entre marcos regulatorios prudenciales/fiscales y marcos de imagen presentación razonable, demostrando rigor técnico y juicio profesional.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  <w:lang w:val="es-ES"/>
              </w:rPr>
              <w:t xml:space="preserve">Producto 2: </w:t>
            </w:r>
            <w:r w:rsidR="00AD309E"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Informe técnico escrito que analiza y clasifica la base de contabilización aplicable a diferentes tipos de entidades en Bolivia, justificando las características del marco adoptado por cada una.</w:t>
            </w:r>
          </w:p>
        </w:tc>
      </w:tr>
      <w:tr w:rsidR="007C5293" w:rsidRPr="007C5293">
        <w:trPr/>
        <w:tc>
          <w:tcPr>
            <w:tcW w:w="3132" w:type="dxa"/>
            <w:gridSpan w:val="4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2. </w:t>
            </w:r>
            <w:r w:rsidR="0047413E"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Distingue el marco de información financiera aplicable a las distintas tipologías de entidades en Bolivia, evaluando las exigencias normativas para la preparación de sus estados financieros.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2.1 </w:t>
            </w:r>
            <w:r w:rsidR="00AD309E"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Sustenta y justifica de manera oral la elección de la base contable correspondiente a distintas tipologías de entidades en Bolivia, demostrando dominio de sus requerimientos normativos.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  <w:lang w:val="es-ES"/>
              </w:rPr>
              <w:t xml:space="preserve">Producto 3: </w:t>
            </w:r>
            <w:r w:rsidR="004B74D5" w:rsidRPr="007C5293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  <w:lang w:val="es-ES"/>
              </w:rPr>
              <w:t>I</w:t>
            </w:r>
            <w:r w:rsidR="004B74D5"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nforme escrito que analiza un portafolio de empresas en Bolivia, identificando para cada una el marco de información financiera aplicable y evaluando las exigencias normativas específicas que debe cumplir para la emisión de sus estados financieros</w:t>
            </w:r>
          </w:p>
        </w:tc>
      </w:tr>
      <w:tr w:rsidR="007C5293" w:rsidRPr="007C5293">
        <w:trPr/>
        <w:tc>
          <w:tcPr>
            <w:tcW w:w="3132" w:type="dxa"/>
            <w:gridSpan w:val="4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B80A7C" w:rsidRPr="007C5293" w:rsidRDefault="00B80A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2.2 </w:t>
            </w:r>
            <w:r w:rsidR="00AD309E"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Demuestra en un taller de casos la resolución de situaciones donde una entidad boliviana debe adaptar o cambiar su marco de información financiera debido a exigencias de fiscalización, financiamiento internacional o regulación sectorial.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  <w:lang w:val="es-ES"/>
              </w:rPr>
              <w:t xml:space="preserve">Producto 4: </w:t>
            </w:r>
            <w:r w:rsidR="004B74D5"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Documento estructurado que contiene fichas normativas por sector empresarial boliviano, donde se especifican el marco contable, el órgano regulador competente y la estructura de estados financieros requerida.</w:t>
            </w:r>
          </w:p>
        </w:tc>
      </w:tr>
      <w:tr w:rsidR="007C5293" w:rsidRPr="007C5293">
        <w:tc>
          <w:tcPr>
            <w:tcW w:w="9394" w:type="dxa"/>
            <w:gridSpan w:val="1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de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</w:t>
            </w:r>
            <w:proofErr w:type="spellEnd"/>
          </w:p>
        </w:tc>
      </w:tr>
      <w:tr w:rsidR="007C5293" w:rsidRPr="007C5293"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Unidad de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aprendizaje</w:t>
            </w:r>
            <w:proofErr w:type="spellEnd"/>
          </w:p>
        </w:tc>
        <w:tc>
          <w:tcPr>
            <w:tcW w:w="4305" w:type="dxa"/>
            <w:gridSpan w:val="7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  <w:lang w:val="es-ES"/>
              </w:rPr>
              <w:t>Contenidos</w:t>
            </w:r>
          </w:p>
          <w:p w:rsidR="00B80A7C" w:rsidRPr="007C529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  <w:lang w:val="es-ES"/>
              </w:rPr>
              <w:t>C: cognitivo · P: procedimental · A: actitudinal · T: manejo de tecnología e IA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circunstanciales</w:t>
            </w:r>
            <w:proofErr w:type="spellEnd"/>
          </w:p>
        </w:tc>
      </w:tr>
      <w:tr w:rsidR="007C5293" w:rsidRPr="007C5293"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Tema 1: Marco de referencia para la información financiera</w:t>
            </w:r>
          </w:p>
        </w:tc>
        <w:tc>
          <w:tcPr>
            <w:tcW w:w="4305" w:type="dxa"/>
            <w:gridSpan w:val="7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Marcos de referencia de información financiera de propósito general y de propósito específico.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(C)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Características y diferencias de los marcos de referencia.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(C)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Marcos de referencia aplicables a la preparación de estados financieros de propósito general en Bolivia y en el mundo.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(C, P)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Responsabilidad de la administración en la preparación de los estados financieros conforme al marco de referencia aplicable.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(C, P, A)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 w:rsidP="000D3FA6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Marcos de referencia de información financiera adoptados en Bolivia:</w:t>
            </w:r>
            <w:r w:rsidR="004B74D5"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Normas de Contabilidad Generalmente Aceptadas en Bolivia,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Normas</w:t>
            </w:r>
            <w:r w:rsidR="004B74D5"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NIIF de Contabilidad y NIIF para las PYMES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.</w:t>
            </w:r>
          </w:p>
        </w:tc>
      </w:tr>
      <w:tr w:rsidR="007C5293" w:rsidRPr="007C5293">
        <w:trPr/>
        <w:tc>
          <w:tcPr>
            <w:tcW w:w="9394" w:type="dxa"/>
            <w:gridSpan w:val="1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D3FA6" w:rsidRPr="007C5293" w:rsidRDefault="00000000" w:rsidP="000D3FA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  <w:lang w:val="es-ES"/>
              </w:rPr>
              <w:t xml:space="preserve">Elemento de competencia 2: </w:t>
            </w:r>
            <w:r w:rsidR="000D3FA6"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Analiza y evalúa la función de los encargos de aseguramiento y la estructura de los pronunciamientos profesionales del IAASB y del CTNAC, relacionando el marco normativo internacional con su proceso de adopción en Bolivia, para delimitar el alcance de los servicios profesionales, gestionar el riesgo profesional y asumir la responsabilidad ética de la profesión.</w:t>
            </w:r>
          </w:p>
        </w:tc>
      </w:tr>
      <w:tr w:rsidR="007C5293" w:rsidRPr="007C5293">
        <w:tc>
          <w:tcPr>
            <w:tcW w:w="3132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de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desempeño</w:t>
            </w:r>
            <w:proofErr w:type="spellEnd"/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de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desempeño</w:t>
            </w:r>
            <w:proofErr w:type="spellEnd"/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de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producto</w:t>
            </w:r>
            <w:proofErr w:type="spellEnd"/>
          </w:p>
        </w:tc>
      </w:tr>
      <w:tr w:rsidR="007C5293" w:rsidRPr="007C5293">
        <w:trPr/>
        <w:tc>
          <w:tcPr>
            <w:tcW w:w="3132" w:type="dxa"/>
            <w:gridSpan w:val="4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1. </w:t>
            </w:r>
            <w:r w:rsidR="000D3FA6"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Clasifica los encargos de aseguramiento (seguridad razonable y limitada) y los servicios relacionados, analizando la estructura del compendio de pronunciamientos profesionales del IAASB y su adopción por el CTNAC en Bolivia.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1.1 </w:t>
            </w:r>
            <w:r w:rsidR="00B909C4"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Sustenta y argumenta técnicamente, en un taller de análisis de casos, la diferencia entre un encargo de seguridad razonable (auditoría), seguridad limitada (revisión) y servicios relacionados (procedimientos acordados y compilación), defendiendo el tipo de servicio aplicable según los requerimientos de la entidad y de los usuarios de la información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  <w:lang w:val="es-ES"/>
              </w:rPr>
              <w:t xml:space="preserve">Producto 5: </w:t>
            </w:r>
            <w:r w:rsidR="00B909C4"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Matriz escrita estructurada que clasifica el compendio completo de normas profesionales del IAASB adoptadas por el CTNAC en Bolivia, detallando para cada categoría (NIA, NIER, NIEA y NISR): objetivo del encargo, nivel de seguridad proporcionado, tipo de conclusión u opinión emitida, grado de evidencia requerido y formato del informe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.</w:t>
            </w:r>
          </w:p>
        </w:tc>
      </w:tr>
      <w:tr w:rsidR="007C5293" w:rsidRPr="007C5293">
        <w:trPr/>
        <w:tc>
          <w:tcPr>
            <w:tcW w:w="3132" w:type="dxa"/>
            <w:gridSpan w:val="4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B80A7C" w:rsidRPr="007C5293" w:rsidRDefault="00B80A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1.2 </w:t>
            </w:r>
            <w:r w:rsidR="00B909C4"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Expone de manera práctica en un plenario la estructura del compendio de pronunciamientos del IAASB y su proceso de adopción</w:t>
            </w:r>
            <w:proofErr w:type="spellStart"/>
            <w:proofErr w:type="spellEnd"/>
            <w:r w:rsidR="00B909C4"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en Bolivia a través de las resoluciones del CTNAC / CAUB, precisando el alcance de cada marco normativo (Gestión de Calidad - NIGC, Auditoría - NIA, Revisión - NIER, Otros Encargos de aseguramiento – NIEA y Servicios relacionados – NISR)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  <w:lang w:val="es-ES"/>
              </w:rPr>
              <w:t>Producto 6: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</w:t>
            </w:r>
            <w:r w:rsidR="00B909C4"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Informe técnico escrito que analiza tres situaciones empresariales en el entorno boliviano (ej. solicitud de crédito bancario, requerimiento tributario/prudencial y revisión de rubros específicos), determinando y fundamentando la norma profesional aplicable, el nivel de seguridad a proveer y la estructura básica de la carta de compromiso correspondiente.</w:t>
            </w:r>
          </w:p>
        </w:tc>
      </w:tr>
      <w:tr w:rsidR="007C5293" w:rsidRPr="007C5293">
        <w:trPr/>
        <w:tc>
          <w:tcPr>
            <w:tcW w:w="3132" w:type="dxa"/>
            <w:gridSpan w:val="4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2. </w:t>
            </w:r>
            <w:r w:rsidR="000D3FA6"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Evalúa los factores que condicionan el riesgo profesional y la independencia del auditor, determinando el marco de responsabilidad ética (Código IESBA), </w:t>
            </w:r>
            <w:r w:rsidR="00B909C4"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profesional, </w:t>
            </w:r>
            <w:r w:rsidR="000D3FA6"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civil y penal en el ejercicio de la auditoría en Bolivia</w:t>
            </w:r>
            <w:r w:rsidR="00B909C4"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2.1 </w:t>
            </w:r>
            <w:r w:rsidR="007D3CCD"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Debate y resuelve en un taller de casos reales de la práctica boliviana dilemas éticos vinculados con amenazas a la independencia (interés propio, </w:t>
            </w:r>
            <w:proofErr w:type="spellStart"/>
            <w:r w:rsidR="007D3CCD"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autorrevisión</w:t>
            </w:r>
            <w:proofErr w:type="spellEnd"/>
            <w:r w:rsidR="007D3CCD"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, abogacía, familiaridad e intimidación) conforme al Código de Ética del IESBA, proponiendo e interpelando las salvaguardas necesarias para mitigar el riesgo a un nivel aceptablemente bajo.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  <w:lang w:val="es-ES"/>
              </w:rPr>
              <w:t xml:space="preserve">Producto 7: </w:t>
            </w:r>
            <w:r w:rsidR="007D3CCD"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Papel de trabajo sobre la evaluación de la independencia de la firma y del equipo de auditoría para un encargo específico, detallando la identificación de amenazas conforme al Código IESBA y especificando el diseño e implementación de las salvaguardas aplicables.</w:t>
            </w:r>
          </w:p>
        </w:tc>
      </w:tr>
      <w:tr w:rsidR="007C5293" w:rsidRPr="007C5293">
        <w:trPr/>
        <w:tc>
          <w:tcPr>
            <w:tcW w:w="3132" w:type="dxa"/>
            <w:gridSpan w:val="4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B80A7C" w:rsidRPr="007C5293" w:rsidRDefault="00B80A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2.2 </w:t>
            </w:r>
            <w:r w:rsidR="007D3CCD"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Sustenta de manera práctica la evaluación de la aceptación o continuidad de un encargo con alto riesgo profesional, identificando la exposición a responsabilidades en los ámbitos profesional, civil y penal ante la detección de fraudes o incorrecciones materiales.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  <w:lang w:val="es-ES"/>
              </w:rPr>
              <w:t xml:space="preserve">Producto 8: </w:t>
            </w:r>
            <w:r w:rsidR="007D3CCD"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Informe técnico escrito que analiza un caso complejo de fallas de auditoría o fraudes corporativos, mapeando la Matriz de Riesgo Profesional del Auditor y fundamentando la delimitación de las responsabilidades éticas, profesionales, civiles y penales aplicables al auditor independiente.</w:t>
            </w:r>
          </w:p>
        </w:tc>
      </w:tr>
      <w:tr w:rsidR="007C5293" w:rsidRPr="007C5293">
        <w:tc>
          <w:tcPr>
            <w:tcW w:w="9394" w:type="dxa"/>
            <w:gridSpan w:val="1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de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</w:t>
            </w:r>
            <w:proofErr w:type="spellEnd"/>
          </w:p>
        </w:tc>
      </w:tr>
      <w:tr w:rsidR="007C5293" w:rsidRPr="007C5293"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Unidad de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aprendizaje</w:t>
            </w:r>
            <w:proofErr w:type="spellEnd"/>
          </w:p>
        </w:tc>
        <w:tc>
          <w:tcPr>
            <w:tcW w:w="4305" w:type="dxa"/>
            <w:gridSpan w:val="7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  <w:lang w:val="es-ES"/>
              </w:rPr>
              <w:t>Contenidos</w:t>
            </w:r>
          </w:p>
          <w:p w:rsidR="00B80A7C" w:rsidRPr="007C529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  <w:lang w:val="es-ES"/>
              </w:rPr>
              <w:t>C: cognitivo · P: procedimental · A: actitudinal · T: manejo de tecnología e IA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circunstanciales</w:t>
            </w:r>
            <w:proofErr w:type="spellEnd"/>
          </w:p>
        </w:tc>
      </w:tr>
      <w:tr w:rsidR="007C5293" w:rsidRPr="007C5293"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Tema 2: Aseguramiento e introducción a la auditoría</w:t>
            </w:r>
          </w:p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Tema 3: Marco internacional de referencia de encargos de aseguramiento</w:t>
            </w:r>
          </w:p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Tema 4: Estructura de los pronunciamientos profesionales de aseguramiento en el mundo y en Bolivia</w:t>
            </w:r>
          </w:p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Tema 5: Responsabilidad y riesgo profesional</w:t>
            </w:r>
          </w:p>
        </w:tc>
        <w:tc>
          <w:tcPr>
            <w:tcW w:w="4305" w:type="dxa"/>
            <w:gridSpan w:val="7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Etimología y breve reseña histórica de</w:t>
            </w:r>
            <w:r w:rsidR="002D68E0"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l aseguramiento y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la auditoría. (C)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Desarrollo de la profesión de la contaduría pública.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(P)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La función de aseguramiento. (C)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Características de los encargos de aseguramiento.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(C)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Clasificación de los encargos de aseguramiento.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(C)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Tipos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auditorías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. (C)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Los informes de los contadores públicos.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(C)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El auditor externo y los requisitos éticos.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(C, A)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Demanda de los usuarios de estados financieros con informe de auditoría externa.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(C)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lastRenderedPageBreak/>
              <w:t>Responsabilidad del personal profesional. (C, A)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Descripción de los encargos de aseguramiento. (C)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Condiciones previas para un encargo de aseguramiento.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(C)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Elementos de un encargo de aseguramiento.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(C)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Organismos emisores de normas a nivel local e internacional. (C)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Estructura de los pronunciamientos internacionales de auditoría, aseguramiento y servicios relacionados.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(C)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Proyecto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Clarity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sobre Normas Internacionales de Auditoría.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(C)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Código Internacional de Ética para Profesionales de la Contabilidad.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(C, A)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Normas Internacionales de Gestión de Calidad.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(C)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Estructura de las Normas Internacionales de Auditoría. (C)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Norma Internacional de Auditoría para auditorías de estados financieros de entidades menos complejas. (C)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La convergencia a las normas de auditoría en Bolivia.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(C)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Estructura de las Normas de Auditoría Generalmente Aceptadas en Bolivia.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(C)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Papel del auditor independiente. (C)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Vulnerabilidad de los auditores independientes.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(C)</w:t>
            </w:r>
          </w:p>
          <w:p w:rsidR="002D68E0" w:rsidRPr="007C5293" w:rsidRDefault="002D68E0" w:rsidP="002D68E0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Organigrama de una empresa de auditoría externa. (C)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Criterios para la administración y gestión de las firmas de auditoría. (C)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Responsabilidad ante sus clientes</w:t>
            </w:r>
            <w:r w:rsidR="002D68E0"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y terceros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. (C, A)</w:t>
            </w:r>
          </w:p>
          <w:p w:rsidR="00B80A7C" w:rsidRPr="007C5293" w:rsidRDefault="00000000" w:rsidP="002D68E0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El riesgo profesional en la aceptación de clientes. (C)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lastRenderedPageBreak/>
              <w:t>Adopción de l</w:t>
            </w:r>
            <w:r w:rsidR="002D68E0"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o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s </w:t>
            </w:r>
            <w:r w:rsidR="002D68E0"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Pronunciamientos Internacionales del IAASB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en Bolivia dispuesta por la Resolución CTNAC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N°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01/2015.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Vigencia de las Normas Internacionales de Gestión de la Calidad 1 y 2 para las firmas de auditoría desde diciembre de 2022.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Responsabilidad del auditor independiente frente a sus clientes y a terceros</w:t>
            </w:r>
          </w:p>
        </w:tc>
      </w:tr>
      <w:tr w:rsidR="007C5293" w:rsidRPr="007C5293">
        <w:trPr/>
        <w:tc>
          <w:tcPr>
            <w:tcW w:w="9394" w:type="dxa"/>
            <w:gridSpan w:val="1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  <w:lang w:val="es-ES"/>
              </w:rPr>
              <w:lastRenderedPageBreak/>
              <w:t xml:space="preserve">Elemento de competencia 3: </w:t>
            </w:r>
            <w:r w:rsidR="002D68E0"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Analiza el proceso de auditoría basado en riesgos, determinando la relación entre la seguridad razonable, los componentes del riesgo, las aseveraciones de los estados financieros, las respuestas del auditor y la conclusión de la auditoría.</w:t>
            </w:r>
          </w:p>
        </w:tc>
      </w:tr>
      <w:tr w:rsidR="007C5293" w:rsidRPr="007C5293">
        <w:tc>
          <w:tcPr>
            <w:tcW w:w="3132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de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desempeño</w:t>
            </w:r>
            <w:proofErr w:type="spellEnd"/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de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desempeño</w:t>
            </w:r>
            <w:proofErr w:type="spellEnd"/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de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producto</w:t>
            </w:r>
            <w:proofErr w:type="spellEnd"/>
          </w:p>
        </w:tc>
      </w:tr>
      <w:tr w:rsidR="007C5293" w:rsidRPr="007C5293">
        <w:trPr/>
        <w:tc>
          <w:tcPr>
            <w:tcW w:w="3132" w:type="dxa"/>
            <w:gridSpan w:val="4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1. </w:t>
            </w:r>
            <w:r w:rsidR="002D68E0"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Evalúa los componentes del riesgo de auditoría y la seguridad razonable, vinculándolos con las aseveraciones de los estados financieros y el diseño de las respuestas del auditor.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1.1 Resuelve en aula ejercicios de interrelación de los componentes del riesgo de auditoría.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  <w:lang w:val="es-ES"/>
              </w:rPr>
              <w:t xml:space="preserve">Producto 9: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Práctico de los componentes del riesgo de auditoría.</w:t>
            </w:r>
          </w:p>
        </w:tc>
      </w:tr>
      <w:tr w:rsidR="007C5293" w:rsidRPr="007C5293">
        <w:trPr/>
        <w:tc>
          <w:tcPr>
            <w:tcW w:w="3132" w:type="dxa"/>
            <w:gridSpan w:val="4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B80A7C" w:rsidRPr="007C5293" w:rsidRDefault="00B80A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1.2 Expone en equipo el enfoque basado en riesgos y sus beneficios.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  <w:lang w:val="es-ES"/>
              </w:rPr>
              <w:t xml:space="preserve">Producto 10: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Esquema del proceso de auditoría basado en riesgos.</w:t>
            </w:r>
          </w:p>
        </w:tc>
      </w:tr>
      <w:tr w:rsidR="007C5293" w:rsidRPr="007C5293">
        <w:trPr/>
        <w:tc>
          <w:tcPr>
            <w:tcW w:w="3132" w:type="dxa"/>
            <w:gridSpan w:val="4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lastRenderedPageBreak/>
              <w:t xml:space="preserve">2. </w:t>
            </w:r>
            <w:r w:rsidR="009F3FDD"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Determina la opinión profesional a partir de la evaluación de la evidencia obtenida y establece el contenido del informe de auditoría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2.1 Asocia en aula las aseveraciones con los riesgos de un rubro de los estados financieros.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  <w:lang w:val="es-ES"/>
              </w:rPr>
              <w:t xml:space="preserve">Producto 11: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Cuadro de aseveraciones y riesgos de un rubro de los estados financieros.</w:t>
            </w:r>
          </w:p>
        </w:tc>
      </w:tr>
      <w:tr w:rsidR="007C5293" w:rsidRPr="007C5293">
        <w:trPr/>
        <w:tc>
          <w:tcPr>
            <w:tcW w:w="3132" w:type="dxa"/>
            <w:gridSpan w:val="4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B80A7C" w:rsidRPr="007C5293" w:rsidRDefault="00B80A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2.2 Compara en equipo el enfoque de auditoría de una entidad menos compleja con el de una entidad compleja.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  <w:lang w:val="es-ES"/>
              </w:rPr>
              <w:t xml:space="preserve">Producto 12: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Cuadro comparativo del enfoque de auditoría para entidades menos complejas.</w:t>
            </w:r>
          </w:p>
        </w:tc>
      </w:tr>
      <w:tr w:rsidR="007C5293" w:rsidRPr="007C5293">
        <w:tc>
          <w:tcPr>
            <w:tcW w:w="9394" w:type="dxa"/>
            <w:gridSpan w:val="1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de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</w:t>
            </w:r>
            <w:proofErr w:type="spellEnd"/>
          </w:p>
        </w:tc>
      </w:tr>
      <w:tr w:rsidR="007C5293" w:rsidRPr="007C5293"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Unidad de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aprendizaje</w:t>
            </w:r>
            <w:proofErr w:type="spellEnd"/>
          </w:p>
        </w:tc>
        <w:tc>
          <w:tcPr>
            <w:tcW w:w="4305" w:type="dxa"/>
            <w:gridSpan w:val="7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  <w:lang w:val="es-ES"/>
              </w:rPr>
              <w:t>Contenidos</w:t>
            </w:r>
          </w:p>
          <w:p w:rsidR="00B80A7C" w:rsidRPr="007C529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  <w:lang w:val="es-ES"/>
              </w:rPr>
              <w:t>C: cognitivo · P: procedimental · A: actitudinal · T: manejo de tecnología e IA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circunstanciales</w:t>
            </w:r>
            <w:proofErr w:type="spellEnd"/>
          </w:p>
        </w:tc>
      </w:tr>
      <w:tr w:rsidR="007C5293" w:rsidRPr="007C5293"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Tema 6: Proceso de auditoría basado en riesgos</w:t>
            </w:r>
          </w:p>
          <w:p w:rsidR="00E74641" w:rsidRPr="007C5293" w:rsidRDefault="00E7464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Tema 7: Actividades de la auditoría de estados financieros basada en el modelo de riesgos</w:t>
            </w:r>
          </w:p>
        </w:tc>
        <w:tc>
          <w:tcPr>
            <w:tcW w:w="4305" w:type="dxa"/>
            <w:gridSpan w:val="7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Descripción general del proceso de auditoría basado en riesgos. (C)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Seguridad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razonable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. (C)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Riesgo de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auditoría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. (C)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Componentes del riesgo de auditoría.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(C)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Interrelación entre los componentes del riesgo de auditoría.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(C)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Aseveraciones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. (C)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El enfoque basado en riesgos.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(C)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Valoración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riesgos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. (P)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Respuesta al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riesgo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. (C)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Presentación del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informe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. (P)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Documentación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. (P)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Beneficios de la auditoría basada en riesgos.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(C)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Consideraciones para la auditoría de entidades menos complejas.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(C)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Alcance y limitaciones de uso de la norma para auditorías de entidades menos complejas, y criterios para decidir su aplicación.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(C, P)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Guía del IAASB para el uso de las Normas Internacionales de Auditoría en auditorías de pequeñas y medianas empresas.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Predominio de entidades menos complejas en el universo de empresas auditadas en Bolivia.</w:t>
            </w:r>
          </w:p>
        </w:tc>
      </w:tr>
      <w:tr w:rsidR="007C5293" w:rsidRPr="007C5293">
        <w:trPr/>
        <w:tc>
          <w:tcPr>
            <w:tcW w:w="9394" w:type="dxa"/>
            <w:gridSpan w:val="1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  <w:lang w:val="es-ES"/>
              </w:rPr>
              <w:t xml:space="preserve">Elemento de competencia 4: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Valora los riesgos de incorrección material de una entidad, aceptando el encargo, desarrollando la estrategia general, evaluando el control interno, determinando la materialidad y definiendo el enfoque de auditoría planificado.</w:t>
            </w:r>
          </w:p>
          <w:p w:rsidR="009F3FDD" w:rsidRPr="007C5293" w:rsidRDefault="009F3FDD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Planifica la auditoría con base en los riesgos de incorrección material de la entidad, considerando la aceptación del encargo, la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comprensión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del control interno, la materialidad y la definición de la estrategia y enfoque del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encargo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.</w:t>
            </w:r>
          </w:p>
        </w:tc>
      </w:tr>
      <w:tr w:rsidR="007C5293" w:rsidRPr="007C5293">
        <w:tc>
          <w:tcPr>
            <w:tcW w:w="3132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de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desempeño</w:t>
            </w:r>
            <w:proofErr w:type="spellEnd"/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de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desempeño</w:t>
            </w:r>
            <w:proofErr w:type="spellEnd"/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de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producto</w:t>
            </w:r>
            <w:proofErr w:type="spellEnd"/>
          </w:p>
        </w:tc>
      </w:tr>
      <w:tr w:rsidR="007C5293" w:rsidRPr="007C5293">
        <w:trPr/>
        <w:tc>
          <w:tcPr>
            <w:tcW w:w="3132" w:type="dxa"/>
            <w:gridSpan w:val="4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1. Evalúa </w:t>
            </w:r>
            <w:r w:rsidR="009F3FDD"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los términos de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aceptación del encargo, el entendimiento de la entidad, los riesgos inherentes y significativos y </w:t>
            </w:r>
            <w:r w:rsidR="009F3FDD"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la comprensión d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el control interno.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1.1 Elabora en equipo los papeles de trabajo de aceptación del encargo y de entendimiento de la entidad.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  <w:lang w:val="es-ES"/>
              </w:rPr>
              <w:t xml:space="preserve">Producto 13: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Papeles de trabajo de aceptación del encargo, carta de compromiso y entendimiento de la entidad.</w:t>
            </w:r>
          </w:p>
        </w:tc>
      </w:tr>
      <w:tr w:rsidR="007C5293" w:rsidRPr="007C5293">
        <w:trPr/>
        <w:tc>
          <w:tcPr>
            <w:tcW w:w="3132" w:type="dxa"/>
            <w:gridSpan w:val="4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B80A7C" w:rsidRPr="007C5293" w:rsidRDefault="00B80A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1.2 Elabora en aula el flujograma de un proceso de la entidad e identifica sus riesgos y controles relevantes.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  <w:lang w:val="es-ES"/>
              </w:rPr>
              <w:t xml:space="preserve">Producto 14: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Flujograma y matriz de riesgos y controles con la evaluación de su diseño e implementación.</w:t>
            </w:r>
          </w:p>
        </w:tc>
      </w:tr>
      <w:tr w:rsidR="007C5293" w:rsidRPr="007C5293">
        <w:trPr/>
        <w:tc>
          <w:tcPr>
            <w:tcW w:w="3132" w:type="dxa"/>
            <w:gridSpan w:val="4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lastRenderedPageBreak/>
              <w:t>2. Determina la materialidad y el enfoque de auditoría planificado a partir de la valoración de los riesgos de incorrección material.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2.1 </w:t>
            </w:r>
            <w:r w:rsidR="00E74641"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Calcula la materialidad, r</w:t>
            </w:r>
            <w:r w:rsidR="009F3FDD"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elaciona los riesgos identificados con las partidas significativas, las aseveraciones y los </w:t>
            </w:r>
            <w:r w:rsidR="00E74641"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componentes del</w:t>
            </w:r>
            <w:r w:rsidR="009F3FDD"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riesgo de auditoría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  <w:lang w:val="es-ES"/>
              </w:rPr>
              <w:t xml:space="preserve">Producto 15: </w:t>
            </w:r>
            <w:r w:rsidR="00E74641"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Papeles de trabajo del </w:t>
            </w:r>
            <w:r w:rsidR="00D54E36"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cálculo</w:t>
            </w:r>
            <w:r w:rsidR="00E74641"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de materialidad y matriz de valoración del riesgo de auditoría</w:t>
            </w:r>
          </w:p>
        </w:tc>
      </w:tr>
      <w:tr w:rsidR="007C5293" w:rsidRPr="007C5293">
        <w:trPr/>
        <w:tc>
          <w:tcPr>
            <w:tcW w:w="3132" w:type="dxa"/>
            <w:gridSpan w:val="4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B80A7C" w:rsidRPr="007C5293" w:rsidRDefault="00B80A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2.2 </w:t>
            </w:r>
            <w:r w:rsidR="009F3FDD"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Diseña la estrategia global y el plan de auditoría, definiendo el enfoque de la auditoría.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  <w:lang w:val="es-ES"/>
              </w:rPr>
              <w:t xml:space="preserve">Producto 16: </w:t>
            </w:r>
            <w:r w:rsidR="009F3FDD"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Establece los enfoques de auditoría y la estrategia a seguir en la siguiente etapa de auditoría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.</w:t>
            </w:r>
          </w:p>
        </w:tc>
      </w:tr>
      <w:tr w:rsidR="007C5293" w:rsidRPr="007C5293">
        <w:tc>
          <w:tcPr>
            <w:tcW w:w="9394" w:type="dxa"/>
            <w:gridSpan w:val="1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de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</w:t>
            </w:r>
            <w:proofErr w:type="spellEnd"/>
          </w:p>
        </w:tc>
      </w:tr>
      <w:tr w:rsidR="007C5293" w:rsidRPr="007C5293"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Unidad de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aprendizaje</w:t>
            </w:r>
            <w:proofErr w:type="spellEnd"/>
          </w:p>
        </w:tc>
        <w:tc>
          <w:tcPr>
            <w:tcW w:w="4305" w:type="dxa"/>
            <w:gridSpan w:val="7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  <w:lang w:val="es-ES"/>
              </w:rPr>
              <w:t>Contenidos</w:t>
            </w:r>
          </w:p>
          <w:p w:rsidR="00B80A7C" w:rsidRPr="007C529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  <w:lang w:val="es-ES"/>
              </w:rPr>
              <w:t>C: cognitivo · P: procedimental · A: actitudinal · T: manejo de tecnología e IA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circunstanciales</w:t>
            </w:r>
            <w:proofErr w:type="spellEnd"/>
          </w:p>
        </w:tc>
      </w:tr>
      <w:tr w:rsidR="007C5293" w:rsidRPr="00D54E36"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D54E36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D54E3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Tema 8: Evaluación del riesgo, descripción general</w:t>
            </w:r>
          </w:p>
          <w:p w:rsidR="00B80A7C" w:rsidRPr="00D54E36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D54E3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Tema 9: Actividades preliminares de aceptación y continuidad del encargo de auditoría</w:t>
            </w:r>
          </w:p>
          <w:p w:rsidR="00B80A7C" w:rsidRPr="00D54E36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D54E3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Tema 10: Estrategia general de la auditoría y uso de herramientas tecnológicas emergentes en la auditoría</w:t>
            </w:r>
          </w:p>
          <w:p w:rsidR="00B80A7C" w:rsidRPr="00D54E36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D54E3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Tema 11: Entendimiento de la entidad</w:t>
            </w:r>
          </w:p>
          <w:p w:rsidR="00B80A7C" w:rsidRPr="00D54E36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D54E3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Tema 12: Procedimientos de evaluación del riesgo</w:t>
            </w:r>
          </w:p>
          <w:p w:rsidR="00B80A7C" w:rsidRPr="00D54E36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D54E3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Tema 13: Riesgos inherentes, identificación</w:t>
            </w:r>
          </w:p>
          <w:p w:rsidR="00B80A7C" w:rsidRPr="00D54E36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D54E3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Tema 14: Riesgo a nivel de la entidad, de negocio</w:t>
            </w:r>
          </w:p>
          <w:p w:rsidR="00B80A7C" w:rsidRPr="00D54E36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D54E3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Tema 15: Riesgos inherentes, valoración</w:t>
            </w:r>
          </w:p>
          <w:p w:rsidR="00B80A7C" w:rsidRPr="00D54E36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D54E3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Tema 16: Riesgos significativos</w:t>
            </w:r>
          </w:p>
          <w:p w:rsidR="00B80A7C" w:rsidRPr="00D54E36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D54E3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Tema 17: Control interno, propósito y componentes</w:t>
            </w:r>
          </w:p>
          <w:p w:rsidR="00B80A7C" w:rsidRPr="00D54E36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D54E3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Tema 18: Comprensión y valoración del diseño e implementación del control interno</w:t>
            </w:r>
          </w:p>
          <w:p w:rsidR="00B80A7C" w:rsidRPr="00D54E36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D54E3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Tema 19: Aseveraciones de los estados financieros</w:t>
            </w:r>
          </w:p>
          <w:p w:rsidR="00B80A7C" w:rsidRPr="00D54E36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D54E3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Tema 20: Procedimientos analíticos de planificación</w:t>
            </w:r>
          </w:p>
          <w:p w:rsidR="00B80A7C" w:rsidRPr="00D54E36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D54E3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Tema 21: Materialidad y riesgo de auditoría</w:t>
            </w:r>
          </w:p>
          <w:p w:rsidR="00B80A7C" w:rsidRPr="00D54E36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D54E3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Tema 22: Valoración de los riesgos de incorrección material, discusiones del equipo de auditoría</w:t>
            </w:r>
          </w:p>
          <w:p w:rsidR="00B80A7C" w:rsidRPr="00D54E36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D54E3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lastRenderedPageBreak/>
              <w:t>Tema 23: Conclusiones de la fase de evaluación del riesgo, valoración del riesgo de auditoría y enfoque de auditoría planificado</w:t>
            </w:r>
          </w:p>
        </w:tc>
        <w:tc>
          <w:tcPr>
            <w:tcW w:w="4305" w:type="dxa"/>
            <w:gridSpan w:val="7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74641" w:rsidRPr="00D54E36" w:rsidRDefault="00E74641" w:rsidP="00E74641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D54E3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lastRenderedPageBreak/>
              <w:t>Generalidades de la fase de evaluación del riesgo. (C, P)</w:t>
            </w:r>
          </w:p>
          <w:p w:rsidR="00E74641" w:rsidRPr="00D54E36" w:rsidRDefault="00E74641" w:rsidP="00E74641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D54E3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Actividades que comprende la fase de evaluación de riesgos. (P)</w:t>
            </w:r>
          </w:p>
          <w:p w:rsidR="00B80A7C" w:rsidRPr="00D54E36" w:rsidRDefault="00000000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D54E3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Actividades preliminares en la auditoría. (C)</w:t>
            </w:r>
          </w:p>
          <w:p w:rsidR="00E74641" w:rsidRPr="00D54E36" w:rsidRDefault="00E74641" w:rsidP="00E74641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D54E3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Evaluación preliminar del riesgo del cliente. (P)</w:t>
            </w:r>
          </w:p>
          <w:p w:rsidR="00E74641" w:rsidRPr="00D54E36" w:rsidRDefault="00E74641" w:rsidP="00E74641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D54E3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Evaluación del cumplimiento de los requerimientos éticos y de independencia. (C, P, A)</w:t>
            </w:r>
          </w:p>
          <w:p w:rsidR="00E74641" w:rsidRPr="00D54E36" w:rsidRDefault="00E74641" w:rsidP="00E74641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D54E3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Valoración de riesgos profesionales. (P)</w:t>
            </w:r>
          </w:p>
          <w:p w:rsidR="00E74641" w:rsidRPr="00D54E36" w:rsidRDefault="00E74641" w:rsidP="00E74641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D54E3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La propuesta de auditoría. (C)</w:t>
            </w:r>
          </w:p>
          <w:p w:rsidR="00E74641" w:rsidRPr="00D54E36" w:rsidRDefault="00E74641" w:rsidP="00E74641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D54E3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Aceptación y continuación del cliente y el encargo de auditoría. (C)</w:t>
            </w:r>
          </w:p>
          <w:p w:rsidR="00E74641" w:rsidRPr="00D54E36" w:rsidRDefault="00E74641" w:rsidP="00E74641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D54E3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Documentación de la aceptación del encargo: evaluación del riesgo del cliente, integridad de la administración y capacidad de la firma. (P, A)</w:t>
            </w:r>
          </w:p>
          <w:p w:rsidR="00E74641" w:rsidRPr="00D54E36" w:rsidRDefault="00E74641" w:rsidP="00E74641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D54E3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Planificación de la auditoría. (P)</w:t>
            </w:r>
          </w:p>
          <w:p w:rsidR="00E74641" w:rsidRPr="00D54E36" w:rsidRDefault="00E74641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D54E3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Comprensión de la entidad y su entorno para la identificación de riesgos inherentes. (P)</w:t>
            </w:r>
          </w:p>
          <w:p w:rsidR="00E74641" w:rsidRPr="00D54E36" w:rsidRDefault="00E74641" w:rsidP="00E74641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D54E3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Procedimientos de </w:t>
            </w:r>
            <w:r w:rsidR="00F860CD" w:rsidRPr="00D54E3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identificación y </w:t>
            </w:r>
            <w:r w:rsidRPr="00D54E3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evaluación de riesgos </w:t>
            </w:r>
            <w:r w:rsidR="00F860CD" w:rsidRPr="00D54E3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inherentes</w:t>
            </w:r>
            <w:r w:rsidRPr="00D54E3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. (P)</w:t>
            </w:r>
          </w:p>
          <w:p w:rsidR="00F860CD" w:rsidRPr="00D54E36" w:rsidRDefault="00F860CD" w:rsidP="00F860CD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D54E3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Herramientas administrativas para la identificación de los riesgos a nivel de la entidad y el entorno en el cual opera. (C)</w:t>
            </w:r>
          </w:p>
          <w:p w:rsidR="00F860CD" w:rsidRPr="00D54E36" w:rsidRDefault="00F860CD" w:rsidP="00F860CD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D54E3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Riesgos de negocios</w:t>
            </w:r>
            <w:r w:rsidR="00AD5587" w:rsidRPr="00D54E3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y riesgos de fraude</w:t>
            </w:r>
            <w:r w:rsidRPr="00D54E3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. (C)</w:t>
            </w:r>
          </w:p>
          <w:p w:rsidR="00F860CD" w:rsidRPr="00D54E36" w:rsidRDefault="00F860CD" w:rsidP="00F860CD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D54E3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El triángulo del fraude. (C)</w:t>
            </w:r>
          </w:p>
          <w:p w:rsidR="00F860CD" w:rsidRPr="00D54E36" w:rsidRDefault="00F860CD" w:rsidP="00F860CD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D54E3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Documentación del riesgo a nivel de la entidad. (P)</w:t>
            </w:r>
          </w:p>
          <w:p w:rsidR="00F860CD" w:rsidRPr="00D54E36" w:rsidRDefault="00F860CD" w:rsidP="00F860CD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54E3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Generalidades de la valoración de los riesgos inherentes. </w:t>
            </w:r>
            <w:r w:rsidRPr="00D54E36">
              <w:rPr>
                <w:rFonts w:ascii="Century Gothic" w:hAnsi="Century Gothic" w:cs="Century Gothic" w:eastAsia="Century Gothic"/>
                <w:sz w:val="18"/>
                <w:szCs w:val="18"/>
              </w:rPr>
              <w:t>(C, P)</w:t>
            </w:r>
          </w:p>
          <w:p w:rsidR="00F860CD" w:rsidRPr="00D54E36" w:rsidRDefault="00F860CD" w:rsidP="00F860CD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D54E3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Probabilidad de ocurrencia del riesgo</w:t>
            </w:r>
            <w:r w:rsidRPr="00D54E3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e i</w:t>
            </w:r>
            <w:r w:rsidRPr="00D54E3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mpacto de la ocurrencia del riesgo. (C)</w:t>
            </w:r>
          </w:p>
          <w:p w:rsidR="00F860CD" w:rsidRPr="00D54E36" w:rsidRDefault="00F860CD" w:rsidP="00F860CD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D54E3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Determinación de los riesgos significativos a una auditoría de estados financieros. (P)</w:t>
            </w:r>
          </w:p>
          <w:p w:rsidR="00E74641" w:rsidRPr="00D54E36" w:rsidRDefault="00E74641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D54E3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Comprensión del control interno y el riesgo de control interno. (P)</w:t>
            </w:r>
          </w:p>
          <w:p w:rsidR="00E74641" w:rsidRPr="00D54E36" w:rsidRDefault="00E74641" w:rsidP="00E74641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D54E3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Indagaciones a la administración y a otros. (C)</w:t>
            </w:r>
          </w:p>
          <w:p w:rsidR="00E07B24" w:rsidRPr="00D54E36" w:rsidRDefault="00E07B24" w:rsidP="00E07B24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D54E3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Descripción general del control interno. (C)</w:t>
            </w:r>
          </w:p>
          <w:p w:rsidR="00E07B24" w:rsidRPr="00D54E36" w:rsidRDefault="00E07B24" w:rsidP="00E07B24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D54E3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lastRenderedPageBreak/>
              <w:t>Objetivos del control interno. (C)</w:t>
            </w:r>
          </w:p>
          <w:p w:rsidR="00E07B24" w:rsidRPr="00D54E36" w:rsidRDefault="00E07B24" w:rsidP="00E07B24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54E3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Los componentes y principios del control interno. </w:t>
            </w:r>
            <w:r w:rsidRPr="00D54E36">
              <w:rPr>
                <w:rFonts w:ascii="Century Gothic" w:hAnsi="Century Gothic" w:cs="Century Gothic" w:eastAsia="Century Gothic"/>
                <w:sz w:val="18"/>
                <w:szCs w:val="18"/>
              </w:rPr>
              <w:t>(C)</w:t>
            </w:r>
          </w:p>
          <w:p w:rsidR="00E07B24" w:rsidRPr="00D54E36" w:rsidRDefault="00E07B24" w:rsidP="00E07B24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D54E3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Conocimiento de los riesgos y controles generales de tecnología de la información. (C)</w:t>
            </w:r>
          </w:p>
          <w:p w:rsidR="00E07B24" w:rsidRPr="00D54E36" w:rsidRDefault="00E07B24" w:rsidP="00E07B24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54E36">
              <w:rPr>
                <w:rFonts w:ascii="Century Gothic" w:hAnsi="Century Gothic" w:cs="Century Gothic" w:eastAsia="Century Gothic"/>
                <w:sz w:val="18"/>
                <w:szCs w:val="18"/>
              </w:rPr>
              <w:t>Riesgo y control. (C)</w:t>
            </w:r>
          </w:p>
          <w:p w:rsidR="00E07B24" w:rsidRPr="00D54E36" w:rsidRDefault="00E07B24" w:rsidP="00E07B24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D54E3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Controles internos relevantes para la auditoría. (C)</w:t>
            </w:r>
          </w:p>
          <w:p w:rsidR="00AD5587" w:rsidRPr="00D54E36" w:rsidRDefault="00AD5587" w:rsidP="00AD5587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D54E3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Pruebas de detección de anomalías sobre asientos contables y transacciones inusuales con herramientas de análisis de datos. (P, T)</w:t>
            </w:r>
          </w:p>
          <w:p w:rsidR="00E74641" w:rsidRPr="00D54E36" w:rsidRDefault="00E74641" w:rsidP="00E74641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D54E3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Procedimientos analíticos de planificación. (P)</w:t>
            </w:r>
          </w:p>
          <w:p w:rsidR="00E07B24" w:rsidRPr="00D54E36" w:rsidRDefault="00E07B24" w:rsidP="00E07B24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D54E3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Materialidad y riesgo de auditoría. (C)</w:t>
            </w:r>
          </w:p>
          <w:p w:rsidR="00E07B24" w:rsidRPr="00D54E36" w:rsidRDefault="00E07B24" w:rsidP="00E07B24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54E3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Niveles de materialidad que se requieren. </w:t>
            </w:r>
            <w:r w:rsidRPr="00D54E36">
              <w:rPr>
                <w:rFonts w:ascii="Century Gothic" w:hAnsi="Century Gothic" w:cs="Century Gothic" w:eastAsia="Century Gothic"/>
                <w:sz w:val="18"/>
                <w:szCs w:val="18"/>
              </w:rPr>
              <w:t>(C)</w:t>
            </w:r>
          </w:p>
          <w:p w:rsidR="00E07B24" w:rsidRPr="00D54E36" w:rsidRDefault="00E07B24" w:rsidP="00E07B24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D54E3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Documentación de la materialidad y procedimiento para determinarla. (P)</w:t>
            </w:r>
          </w:p>
          <w:p w:rsidR="00E07B24" w:rsidRPr="00D54E36" w:rsidRDefault="00E07B24" w:rsidP="00E07B24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54E3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Revisión de la materialidad durante el encargo ante cambios en las circunstancias o en los resultados de la entidad. </w:t>
            </w:r>
            <w:r w:rsidRPr="00D54E36">
              <w:rPr>
                <w:rFonts w:ascii="Century Gothic" w:hAnsi="Century Gothic" w:cs="Century Gothic" w:eastAsia="Century Gothic"/>
                <w:sz w:val="18"/>
                <w:szCs w:val="18"/>
              </w:rPr>
              <w:t>(C)</w:t>
            </w:r>
          </w:p>
          <w:p w:rsidR="00E07B24" w:rsidRPr="00D54E36" w:rsidRDefault="00E07B24" w:rsidP="00E07B24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D54E3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Generalidades y descripción de las aseveraciones. (C)</w:t>
            </w:r>
          </w:p>
          <w:p w:rsidR="00E07B24" w:rsidRPr="00D54E36" w:rsidRDefault="00E07B24" w:rsidP="00E07B24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54E3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Aseveraciones relacionadas con clases de transacciones y revelaciones relacionadas. </w:t>
            </w:r>
            <w:r w:rsidRPr="00D54E36">
              <w:rPr>
                <w:rFonts w:ascii="Century Gothic" w:hAnsi="Century Gothic" w:cs="Century Gothic" w:eastAsia="Century Gothic"/>
                <w:sz w:val="18"/>
                <w:szCs w:val="18"/>
              </w:rPr>
              <w:t>(C)</w:t>
            </w:r>
          </w:p>
          <w:p w:rsidR="00E07B24" w:rsidRPr="00D54E36" w:rsidRDefault="00E07B24" w:rsidP="00E07B24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54E3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Aseveraciones relacionadas con saldos de cuenta y revelaciones relacionadas. </w:t>
            </w:r>
            <w:r w:rsidRPr="00D54E36">
              <w:rPr>
                <w:rFonts w:ascii="Century Gothic" w:hAnsi="Century Gothic" w:cs="Century Gothic" w:eastAsia="Century Gothic"/>
                <w:sz w:val="18"/>
                <w:szCs w:val="18"/>
              </w:rPr>
              <w:t>(C)</w:t>
            </w:r>
          </w:p>
          <w:p w:rsidR="00E07B24" w:rsidRPr="00D54E36" w:rsidRDefault="00E07B24" w:rsidP="00E07B24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D54E36">
              <w:rPr>
                <w:rFonts w:ascii="Century Gothic" w:hAnsi="Century Gothic" w:cs="Century Gothic" w:eastAsia="Century Gothic"/>
                <w:sz w:val="18"/>
                <w:szCs w:val="18"/>
              </w:rPr>
              <w:t>Aseveraciones</w:t>
            </w:r>
            <w:proofErr w:type="spellEnd"/>
            <w:r w:rsidRPr="00D54E3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D54E36">
              <w:rPr>
                <w:rFonts w:ascii="Century Gothic" w:hAnsi="Century Gothic" w:cs="Century Gothic" w:eastAsia="Century Gothic"/>
                <w:sz w:val="18"/>
                <w:szCs w:val="18"/>
              </w:rPr>
              <w:t>combinadas</w:t>
            </w:r>
            <w:proofErr w:type="spellEnd"/>
            <w:r w:rsidRPr="00D54E36">
              <w:rPr>
                <w:rFonts w:ascii="Century Gothic" w:hAnsi="Century Gothic" w:cs="Century Gothic" w:eastAsia="Century Gothic"/>
                <w:sz w:val="18"/>
                <w:szCs w:val="18"/>
              </w:rPr>
              <w:t>. (C)</w:t>
            </w:r>
          </w:p>
          <w:p w:rsidR="00E07B24" w:rsidRPr="00D54E36" w:rsidRDefault="00E07B24" w:rsidP="00E07B24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54E3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Uso de las aseveraciones en la auditoría. </w:t>
            </w:r>
            <w:r w:rsidRPr="00D54E36">
              <w:rPr>
                <w:rFonts w:ascii="Century Gothic" w:hAnsi="Century Gothic" w:cs="Century Gothic" w:eastAsia="Century Gothic"/>
                <w:sz w:val="18"/>
                <w:szCs w:val="18"/>
              </w:rPr>
              <w:t>(P)</w:t>
            </w:r>
          </w:p>
          <w:p w:rsidR="00E07B24" w:rsidRPr="00D54E36" w:rsidRDefault="00E07B24" w:rsidP="00E07B24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54E3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Identificación de los tipos de transacciones y saldos de cuentas significativos y su asociación con las aseveraciones relevantes. </w:t>
            </w:r>
            <w:r w:rsidRPr="00D54E36">
              <w:rPr>
                <w:rFonts w:ascii="Century Gothic" w:hAnsi="Century Gothic" w:cs="Century Gothic" w:eastAsia="Century Gothic"/>
                <w:sz w:val="18"/>
                <w:szCs w:val="18"/>
              </w:rPr>
              <w:t>(C, P)</w:t>
            </w:r>
          </w:p>
          <w:p w:rsidR="00E07B24" w:rsidRPr="00D54E36" w:rsidRDefault="00E07B24" w:rsidP="00E07B24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D54E3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Desarrollo de la estrategia general de la auditoría. (P)</w:t>
            </w:r>
          </w:p>
          <w:p w:rsidR="00AD5587" w:rsidRPr="00D54E36" w:rsidRDefault="00AD5587" w:rsidP="00E07B24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D54E3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Valoración del riesgo de auditoría.</w:t>
            </w:r>
          </w:p>
          <w:p w:rsidR="00E07B24" w:rsidRPr="00D54E36" w:rsidRDefault="00E07B24" w:rsidP="00E07B24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D54E3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Diseño de una respuesta de auditoría a los riesgos significativos identificados. (P)</w:t>
            </w:r>
          </w:p>
          <w:p w:rsidR="00E07B24" w:rsidRPr="00D54E36" w:rsidRDefault="00E07B24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D54E3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Determinación del enfoque de auditoría a aplicar. (P)</w:t>
            </w:r>
          </w:p>
          <w:p w:rsidR="00B80A7C" w:rsidRPr="00D54E36" w:rsidRDefault="00000000" w:rsidP="00E07B24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D54E3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Selección de procedimientos de auditoría. (P)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D54E36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D54E3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lastRenderedPageBreak/>
              <w:t xml:space="preserve">Obligación del </w:t>
            </w:r>
            <w:r w:rsidR="00E74641" w:rsidRPr="00D54E3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informe</w:t>
            </w:r>
            <w:r w:rsidRPr="00D54E3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de auditoría externa para los contribuyentes con ingresos anuales desde Bs 1.700.000 para los cierres de gestión a partir de 2027.</w:t>
            </w:r>
          </w:p>
          <w:p w:rsidR="00B80A7C" w:rsidRPr="00D54E36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D54E3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Uso de herramientas digitales y de inteligencia artificial en las firmas de auditoría que operan en Bolivia.</w:t>
            </w:r>
          </w:p>
          <w:p w:rsidR="00B80A7C" w:rsidRPr="00D54E36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D54E3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Responsabilidad del auditor respecto al fraude en la auditoría de estados financieros conforme a la NIA 240 y su revisión aplicable desde el 15 de diciembre de 2026.</w:t>
            </w:r>
          </w:p>
          <w:p w:rsidR="00B80A7C" w:rsidRPr="00D54E36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D54E3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Segregación de funciones limitada en las entidades menos complejas del medio y sus controles compensatorios.</w:t>
            </w:r>
          </w:p>
          <w:p w:rsidR="00B80A7C" w:rsidRPr="00D54E36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D54E3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Bases de cálculo de la materialidad aplicadas por las firmas de auditoría en entidades privadas bolivianas.</w:t>
            </w:r>
          </w:p>
        </w:tc>
      </w:tr>
      <w:tr w:rsidR="007C5293" w:rsidRPr="007C5293">
        <w:trPr/>
        <w:tc>
          <w:tcPr>
            <w:tcW w:w="9394" w:type="dxa"/>
            <w:gridSpan w:val="1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  <w:lang w:val="es-ES"/>
              </w:rPr>
              <w:lastRenderedPageBreak/>
              <w:t xml:space="preserve">Elemento de competencia 5: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Ejecuta la respuesta a los riesgos valorados</w:t>
            </w:r>
            <w:r w:rsidR="00AD5587"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de incorrección </w:t>
            </w:r>
            <w:r w:rsidR="00D54E36"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material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, diseñando el plan detallado, aplicando las pruebas de controles y los procedimientos sustantivos, determinando la extensión de las pruebas y documentando el trabajo realizado.</w:t>
            </w:r>
          </w:p>
        </w:tc>
      </w:tr>
      <w:tr w:rsidR="007C5293" w:rsidRPr="007C5293">
        <w:tc>
          <w:tcPr>
            <w:tcW w:w="3132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de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desempeño</w:t>
            </w:r>
            <w:proofErr w:type="spellEnd"/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de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desempeño</w:t>
            </w:r>
            <w:proofErr w:type="spellEnd"/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de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producto</w:t>
            </w:r>
            <w:proofErr w:type="spellEnd"/>
          </w:p>
        </w:tc>
      </w:tr>
      <w:tr w:rsidR="007C5293" w:rsidRPr="007C5293">
        <w:trPr/>
        <w:tc>
          <w:tcPr>
            <w:tcW w:w="3132" w:type="dxa"/>
            <w:gridSpan w:val="4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1. Diseña el plan detallado de auditoría y ejecuta las pruebas de controles y los procedimientos sustantivos analíticos.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1.1 Elabora en equipo el programa de auditoría de un rubro, vinculando riesgos, aseveraciones y procedimientos.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  <w:lang w:val="es-ES"/>
              </w:rPr>
              <w:t xml:space="preserve">Producto 17: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Programa de auditoría de un rubro de los estados financieros.</w:t>
            </w:r>
          </w:p>
        </w:tc>
      </w:tr>
      <w:tr w:rsidR="007C5293" w:rsidRPr="007C5293">
        <w:trPr/>
        <w:tc>
          <w:tcPr>
            <w:tcW w:w="3132" w:type="dxa"/>
            <w:gridSpan w:val="4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B80A7C" w:rsidRPr="007C5293" w:rsidRDefault="00B80A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1.2 Ejecuta en aula pruebas de controles y procedimientos analíticos sustantivos de un caso.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  <w:lang w:val="es-ES"/>
              </w:rPr>
              <w:t xml:space="preserve">Producto 18: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Papeles de trabajo de pruebas de controles y de procedimientos analíticos sustantivos.</w:t>
            </w:r>
          </w:p>
        </w:tc>
      </w:tr>
      <w:tr w:rsidR="007C5293" w:rsidRPr="007C5293">
        <w:trPr/>
        <w:tc>
          <w:tcPr>
            <w:tcW w:w="3132" w:type="dxa"/>
            <w:gridSpan w:val="4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lastRenderedPageBreak/>
              <w:t xml:space="preserve">2. </w:t>
            </w:r>
            <w:r w:rsidR="00AD5587"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Aplica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los procedimientos sustantivos de detalle, determina la extensión de las pruebas y documenta el trabajo realizado.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2.1 Determina en aula el tamaño de la muestra y proyecta las incorrecciones detectadas.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  <w:lang w:val="es-ES"/>
              </w:rPr>
              <w:t xml:space="preserve">Producto 19: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Cédula de muestreo con la proyección de las incorrecciones.</w:t>
            </w:r>
          </w:p>
        </w:tc>
      </w:tr>
      <w:tr w:rsidR="007C5293" w:rsidRPr="007C5293">
        <w:trPr/>
        <w:tc>
          <w:tcPr>
            <w:tcW w:w="3132" w:type="dxa"/>
            <w:gridSpan w:val="4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B80A7C" w:rsidRPr="007C5293" w:rsidRDefault="00B80A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2.2 Organiza en equipo el archivo de auditoría del caso y obtiene la carta de representaciones.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  <w:lang w:val="es-ES"/>
              </w:rPr>
              <w:t xml:space="preserve">Producto 20: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Archivo de papeles de trabajo referenciado con la carta de representaciones.</w:t>
            </w:r>
          </w:p>
        </w:tc>
      </w:tr>
      <w:tr w:rsidR="007C5293" w:rsidRPr="007C5293">
        <w:tc>
          <w:tcPr>
            <w:tcW w:w="9394" w:type="dxa"/>
            <w:gridSpan w:val="1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de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</w:t>
            </w:r>
            <w:proofErr w:type="spellEnd"/>
          </w:p>
        </w:tc>
      </w:tr>
      <w:tr w:rsidR="007C5293" w:rsidRPr="007C5293"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Unidad de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aprendizaje</w:t>
            </w:r>
            <w:proofErr w:type="spellEnd"/>
          </w:p>
        </w:tc>
        <w:tc>
          <w:tcPr>
            <w:tcW w:w="4305" w:type="dxa"/>
            <w:gridSpan w:val="7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  <w:lang w:val="es-ES"/>
              </w:rPr>
              <w:t>Contenidos</w:t>
            </w:r>
          </w:p>
          <w:p w:rsidR="00B80A7C" w:rsidRPr="007C529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  <w:lang w:val="es-ES"/>
              </w:rPr>
              <w:t>C: cognitivo · P: procedimental · A: actitudinal · T: manejo de tecnología e IA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circunstanciales</w:t>
            </w:r>
            <w:proofErr w:type="spellEnd"/>
          </w:p>
        </w:tc>
      </w:tr>
      <w:tr w:rsidR="007C5293" w:rsidRPr="007C5293"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Tema 24: Respuesta a los riesgos valorados, descripción general</w:t>
            </w:r>
          </w:p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Tema 25: Plan detallado de auditoría</w:t>
            </w:r>
          </w:p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Tema 26: Procedimientos adicionales de auditoría</w:t>
            </w:r>
          </w:p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Tema 27: Pruebas sobre la eficacia del control interno</w:t>
            </w:r>
          </w:p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Tema 28: Procedimientos sustantivos analíticos</w:t>
            </w:r>
          </w:p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Tema 29: Procedimientos sustantivos de detalle</w:t>
            </w:r>
          </w:p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Tema 30: Determinación de la extensión de las pruebas</w:t>
            </w:r>
          </w:p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Tema 31: Documentación del trabajo realizado en auditoría</w:t>
            </w:r>
          </w:p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Tema 32: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Representaciones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escritas</w:t>
            </w:r>
            <w:proofErr w:type="spellEnd"/>
          </w:p>
        </w:tc>
        <w:tc>
          <w:tcPr>
            <w:tcW w:w="4305" w:type="dxa"/>
            <w:gridSpan w:val="7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Respuestas globales a riesgos en los estados financieros.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(C)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Respuesta a los riesgos valorados a nivel de las aseveraciones.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(C)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Enfoque de auditoría adecuado. (C)</w:t>
            </w:r>
          </w:p>
          <w:p w:rsidR="00AD5587" w:rsidRPr="007C5293" w:rsidRDefault="00AD5587" w:rsidP="00AD5587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Descripción general del plan detallado de auditoría. (C)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Diseño y desarrollo de procedimientos de auditoría posteriores. (P)</w:t>
            </w:r>
          </w:p>
          <w:p w:rsidR="00AD5587" w:rsidRPr="007C5293" w:rsidRDefault="00AD5587" w:rsidP="00AD5587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La caja de herramientas del auditor. (C)</w:t>
            </w:r>
          </w:p>
          <w:p w:rsidR="00AD5587" w:rsidRPr="007C5293" w:rsidRDefault="00AD5587" w:rsidP="00AD5587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Tipos de procedimientos. (C, P)</w:t>
            </w:r>
          </w:p>
          <w:p w:rsidR="00AD5587" w:rsidRPr="007C5293" w:rsidRDefault="00AD5587" w:rsidP="00AD5587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Procedimientos sobre la eficacia del control interno.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(P)</w:t>
            </w:r>
          </w:p>
          <w:p w:rsidR="00AD5587" w:rsidRPr="007C5293" w:rsidRDefault="00AD5587" w:rsidP="00AD5587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Muestreo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atributos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. (C)</w:t>
            </w:r>
          </w:p>
          <w:p w:rsidR="00AD5587" w:rsidRPr="007C5293" w:rsidRDefault="00AD5587" w:rsidP="00AD5587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Pruebas del diseño y pruebas de la implementación.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(P)</w:t>
            </w:r>
          </w:p>
          <w:p w:rsidR="00AD5587" w:rsidRPr="007C5293" w:rsidRDefault="00AD5587" w:rsidP="00AD5587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Prueba rotativa del control. (C)</w:t>
            </w:r>
          </w:p>
          <w:p w:rsidR="00AD5587" w:rsidRPr="007C5293" w:rsidRDefault="00AD5587" w:rsidP="00AD5587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Documentación de las pruebas de controles.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(P)</w:t>
            </w:r>
          </w:p>
          <w:p w:rsidR="00AD5587" w:rsidRPr="007C5293" w:rsidRDefault="00AD5587" w:rsidP="00AD5587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Pruebas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analíticas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sustantivas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. (P)</w:t>
            </w:r>
          </w:p>
          <w:p w:rsidR="00AD5587" w:rsidRPr="007C5293" w:rsidRDefault="00AD5587" w:rsidP="00AD5587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Propósito y diseño de los procedimientos sustantivos analíticos. (P)</w:t>
            </w:r>
          </w:p>
          <w:p w:rsidR="00AD5587" w:rsidRPr="007C5293" w:rsidRDefault="00AD5587" w:rsidP="00AD5587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Documentación de los procedimientos sustantivos analíticos. (P)</w:t>
            </w:r>
          </w:p>
          <w:p w:rsidR="00AD5587" w:rsidRPr="007C5293" w:rsidRDefault="00AD5587" w:rsidP="00AD5587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Pruebas sustantivas de detalle. (P)</w:t>
            </w:r>
          </w:p>
          <w:p w:rsidR="00AD5587" w:rsidRPr="007C5293" w:rsidRDefault="00AD5587" w:rsidP="00AD5587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Pruebas de integridad y exactitud de los datos. (P, A)</w:t>
            </w:r>
          </w:p>
          <w:p w:rsidR="00FC7D3F" w:rsidRPr="007C5293" w:rsidRDefault="00FC7D3F" w:rsidP="00FC7D3F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Propósito y diseño de los procedimientos sustantivos de detalle. (P)</w:t>
            </w:r>
          </w:p>
          <w:p w:rsidR="00FC7D3F" w:rsidRPr="007C5293" w:rsidRDefault="00FC7D3F" w:rsidP="00FC7D3F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Confirmaciones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saldos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. (C)</w:t>
            </w:r>
          </w:p>
          <w:p w:rsidR="00FC7D3F" w:rsidRPr="007C5293" w:rsidRDefault="00FC7D3F" w:rsidP="00FC7D3F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Inspección detallada de documentos. (C)</w:t>
            </w:r>
          </w:p>
          <w:p w:rsidR="00FC7D3F" w:rsidRPr="007C5293" w:rsidRDefault="00FC7D3F" w:rsidP="00FC7D3F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Inspección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activos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. (C)</w:t>
            </w:r>
          </w:p>
          <w:p w:rsidR="00FC7D3F" w:rsidRPr="007C5293" w:rsidRDefault="00FC7D3F" w:rsidP="00FC7D3F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Verificación y comprobación de información detallada.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(P)</w:t>
            </w:r>
          </w:p>
          <w:p w:rsidR="00FC7D3F" w:rsidRPr="007C5293" w:rsidRDefault="00FC7D3F" w:rsidP="00FC7D3F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Otros procedimientos de detalle. (P)</w:t>
            </w:r>
          </w:p>
          <w:p w:rsidR="00FC7D3F" w:rsidRPr="007C5293" w:rsidRDefault="00FC7D3F" w:rsidP="00FC7D3F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Documentación de los procedimientos sustantivos de detalle.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(P)</w:t>
            </w:r>
          </w:p>
          <w:p w:rsidR="00AD5587" w:rsidRPr="007C5293" w:rsidRDefault="00AD5587" w:rsidP="00AD5587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Oportunidad de los procedimientos. (P)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Extensión de los procedimientos. (P)</w:t>
            </w:r>
          </w:p>
          <w:p w:rsidR="00FC7D3F" w:rsidRPr="007C5293" w:rsidRDefault="00FC7D3F" w:rsidP="00FC7D3F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Técnicas de muestreo: muestreo de atributos y muestreo por unidades monetarias, MUM. (P)</w:t>
            </w:r>
          </w:p>
          <w:p w:rsidR="00FC7D3F" w:rsidRPr="007C5293" w:rsidRDefault="00FC7D3F" w:rsidP="00FC7D3F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lastRenderedPageBreak/>
              <w:t xml:space="preserve">Herramientas tecnológicas y uso del muestreo.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(C, T)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Respuesta al riesgo de fraude. (C)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Elemento de imprevisibilidad en los procedimientos de auditoría como respuesta al riesgo de fraude.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(P)</w:t>
            </w:r>
          </w:p>
          <w:p w:rsidR="00FC7D3F" w:rsidRPr="007C5293" w:rsidRDefault="00FC7D3F" w:rsidP="00FC7D3F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Procedimientos de auditoría ejecutados con herramientas de análisis de datos sobre poblaciones completas y su documentación. (P, T)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Documentación y comunicación del plan de auditoría. (P)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Generalidades de la documentación de auditoría. (C, P)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Organización del archivo de auditoría.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(C)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Requerimientos específicos de documentación. (C, P)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Forma, contenido y extensión de la documentación de la auditoría.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(P)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Documentos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electrónicos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. (C, T)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Uso de herramientas digitales en los papeles de trabajo.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(P, T)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Seguridad y confidencialidad del archivo electrónico de auditoría: control de accesos, respaldo y trazabilidad de los cambios.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(C, A, T)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Ventajas de la automatización. (C, T)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Propiedad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del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archivo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. (C)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Terminación del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archivo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. (C)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Realización de cambios al archivo.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(C)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Almacenamiento y mantenimiento de la documentación.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(P)</w:t>
            </w:r>
          </w:p>
          <w:p w:rsidR="00B80A7C" w:rsidRPr="007C5293" w:rsidRDefault="00000000" w:rsidP="00FC7D3F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Generalidades de las representaciones escritas. (C)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lastRenderedPageBreak/>
              <w:t xml:space="preserve">Respuestas de auditoría a los riesgos </w:t>
            </w:r>
            <w:r w:rsidR="00AD5587"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identificados en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las entidades bolivianas.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Confirmaciones externas a entidades financieras, proveedores y clientes.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Norma Internacional de Auditoría 530, Muestreo de auditoría, adoptada en Bolivia por la Resolución CTNAC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N°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01/2015.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Plazos de conservación de la documentación y de respaldo establecidos en el Código de Comercio y en el Código Tributario Boliviano.</w:t>
            </w:r>
          </w:p>
        </w:tc>
      </w:tr>
      <w:tr w:rsidR="007C5293" w:rsidRPr="007C5293">
        <w:trPr/>
        <w:tc>
          <w:tcPr>
            <w:tcW w:w="9394" w:type="dxa"/>
            <w:gridSpan w:val="1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  <w:lang w:val="es-ES"/>
              </w:rPr>
              <w:lastRenderedPageBreak/>
              <w:t xml:space="preserve">Elemento de competencia 6: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Emite el informe del auditor </w:t>
            </w:r>
            <w:r w:rsidR="00FC7D3F"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independiente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y la carta de recomendaciones</w:t>
            </w:r>
            <w:r w:rsidR="00FC7D3F"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de control interno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, evaluando la evidencia de auditoría obtenida y comunicando los hallazgos a los responsables del gobierno de la entidad.</w:t>
            </w:r>
          </w:p>
        </w:tc>
      </w:tr>
      <w:tr w:rsidR="007C5293" w:rsidRPr="007C5293">
        <w:tc>
          <w:tcPr>
            <w:tcW w:w="3132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de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desempeño</w:t>
            </w:r>
            <w:proofErr w:type="spellEnd"/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de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desempeño</w:t>
            </w:r>
            <w:proofErr w:type="spellEnd"/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de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producto</w:t>
            </w:r>
            <w:proofErr w:type="spellEnd"/>
          </w:p>
        </w:tc>
      </w:tr>
      <w:tr w:rsidR="007C5293" w:rsidRPr="007C5293">
        <w:trPr/>
        <w:tc>
          <w:tcPr>
            <w:tcW w:w="3132" w:type="dxa"/>
            <w:gridSpan w:val="4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1. Evalúa la evidencia de auditoría obtenida</w:t>
            </w:r>
            <w:r w:rsidR="00FC7D3F"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y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comunica los hallazgos a los responsables del gobierno de la entidad.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1.1 Evalúa en aula la suficiencia de la evidencia y el efecto de las incorrecciones no corregidas de un caso práctico</w:t>
            </w:r>
            <w:r w:rsidR="00FC7D3F"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para determinar el tipo de opinión.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  <w:lang w:val="es-ES"/>
              </w:rPr>
              <w:t xml:space="preserve">Producto 21: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Resumen de incorrecciones y evaluación de la evidencia de auditoría.</w:t>
            </w:r>
          </w:p>
        </w:tc>
      </w:tr>
      <w:tr w:rsidR="007C5293" w:rsidRPr="007C5293">
        <w:trPr/>
        <w:tc>
          <w:tcPr>
            <w:tcW w:w="3132" w:type="dxa"/>
            <w:gridSpan w:val="4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B80A7C" w:rsidRPr="007C5293" w:rsidRDefault="00B80A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1.2 Comunica en equipo los hallazgos significativos a los responsables del gobierno en un simulacro.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  <w:lang w:val="es-ES"/>
              </w:rPr>
              <w:t xml:space="preserve">Producto 22: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Comunicación escrita a los responsables del gobierno de la entidad.</w:t>
            </w:r>
          </w:p>
        </w:tc>
      </w:tr>
      <w:tr w:rsidR="007C5293" w:rsidRPr="007C5293">
        <w:trPr/>
        <w:tc>
          <w:tcPr>
            <w:tcW w:w="3132" w:type="dxa"/>
            <w:gridSpan w:val="4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2. </w:t>
            </w:r>
            <w:r w:rsidR="00FC7D3F"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Formula una opinión, e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mite el informe del auditor y la carta de recomendaciones conforme a la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lastRenderedPageBreak/>
              <w:t>estructura y a las modificaciones que correspondan.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lastRenderedPageBreak/>
              <w:t xml:space="preserve">2.1 </w:t>
            </w:r>
            <w:r w:rsidR="00FC7D3F"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Formula la opinión y r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edacta en aula el informe del auditor con la opinión que corresponde al caso.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  <w:lang w:val="es-ES"/>
              </w:rPr>
              <w:t xml:space="preserve">Producto 23: </w:t>
            </w:r>
            <w:r w:rsidR="00FC7D3F"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Papeles de trabajo de formación de la opinión y redacción del informe del auditor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independiente del caso práctico.</w:t>
            </w:r>
          </w:p>
        </w:tc>
      </w:tr>
      <w:tr w:rsidR="007C5293" w:rsidRPr="007C5293">
        <w:trPr/>
        <w:tc>
          <w:tcPr>
            <w:tcW w:w="3132" w:type="dxa"/>
            <w:gridSpan w:val="4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B80A7C" w:rsidRPr="007C5293" w:rsidRDefault="00B80A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2.2 Redacta en equipo las observaciones y recomendaciones de control interno del caso.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  <w:lang w:val="es-ES"/>
              </w:rPr>
              <w:t xml:space="preserve">Producto 24: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Carta de recomendaciones </w:t>
            </w:r>
            <w:r w:rsidR="00FC7D3F"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de control interno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del caso práctico.</w:t>
            </w:r>
          </w:p>
        </w:tc>
      </w:tr>
      <w:tr w:rsidR="007C5293" w:rsidRPr="007C5293">
        <w:tc>
          <w:tcPr>
            <w:tcW w:w="9394" w:type="dxa"/>
            <w:gridSpan w:val="1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de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</w:t>
            </w:r>
            <w:proofErr w:type="spellEnd"/>
          </w:p>
        </w:tc>
      </w:tr>
      <w:tr w:rsidR="007C5293" w:rsidRPr="007C5293"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Unidad de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aprendizaje</w:t>
            </w:r>
            <w:proofErr w:type="spellEnd"/>
          </w:p>
        </w:tc>
        <w:tc>
          <w:tcPr>
            <w:tcW w:w="4305" w:type="dxa"/>
            <w:gridSpan w:val="7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  <w:lang w:val="es-ES"/>
              </w:rPr>
              <w:t>Contenidos</w:t>
            </w:r>
          </w:p>
          <w:p w:rsidR="00B80A7C" w:rsidRPr="007C529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  <w:lang w:val="es-ES"/>
              </w:rPr>
              <w:t>C: cognitivo · P: procedimental · A: actitudinal · T: manejo de tecnología e IA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circunstanciales</w:t>
            </w:r>
            <w:proofErr w:type="spellEnd"/>
          </w:p>
        </w:tc>
      </w:tr>
      <w:tr w:rsidR="007C5293" w:rsidRPr="007C5293"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Tema 33: Evaluación de la evidencia de auditoría</w:t>
            </w:r>
          </w:p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Tema 34: Comunicación con los responsables de la entidad</w:t>
            </w:r>
          </w:p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Tema 35: Formación de la opinión y el informe del auditor</w:t>
            </w:r>
          </w:p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Tema 36: La carta de recomendaciones</w:t>
            </w:r>
          </w:p>
        </w:tc>
        <w:tc>
          <w:tcPr>
            <w:tcW w:w="4305" w:type="dxa"/>
            <w:gridSpan w:val="7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Metas en la evaluación de la evidencia de auditoría.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(P)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Reevaluación de la materialidad. (P)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Cambios en valoraciones de riesgo.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(C)</w:t>
            </w:r>
          </w:p>
          <w:p w:rsidR="00FC7D3F" w:rsidRPr="007C5293" w:rsidRDefault="00FC7D3F" w:rsidP="00FC7D3F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Evidencia de auditoría suficiente y adecuada. (C)</w:t>
            </w:r>
          </w:p>
          <w:p w:rsidR="00FC7D3F" w:rsidRPr="007C5293" w:rsidRDefault="00FC7D3F" w:rsidP="00FC7D3F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Procedimientos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analíticos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finales. (P)</w:t>
            </w:r>
          </w:p>
          <w:p w:rsidR="00FC7D3F" w:rsidRPr="007C5293" w:rsidRDefault="00FC7D3F" w:rsidP="00FC7D3F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Evaluación de la hipótesis de empresa en funcionamiento. (C, P)</w:t>
            </w:r>
          </w:p>
          <w:p w:rsidR="00FC7D3F" w:rsidRPr="007C5293" w:rsidRDefault="00FC7D3F" w:rsidP="00FC7D3F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Hechos posteriores al cierre y su efecto en la evidencia obtenida y en la opinión del auditor. (C)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Valoración del efecto de las incorrecciones materiales. (P)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Hallazgos y problemas significativos. (C)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Estudio de caso: evaluación de la evidencia de auditoría.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(P)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Generalidades de la comunicación con los responsables de la entidad.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(C)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Evaluación de las conclusiones y formación de la opinión. (P)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Forma y redacción del informe de auditoría.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(C)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Estructura del informe del auditor.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(C)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Opinión de auditoría no modificada.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(C)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Otros requerimientos de información. (C)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Información adicional presentada junto con los estados financieros. (C)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Informes del auditor modificados. (C)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Estados financieros con incorrecciones materiales.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(C)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Imposibilidad de obtener evidencia de auditoría suficiente y adecuada.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(C)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Párrafos de énfasis y párrafos de otras cuestiones.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(C)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Párrafo de incertidumbre material relacionada con la empresa en funcionamiento y su ubicación en el informe.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(C)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Informes de auditoría sobre estados financieros comparativos: cifras correspondientes y estados financieros comparativos.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(C)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Introducción a la carta de recomendaciones.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(C)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Identificación de aspectos reportables. (P)</w:t>
            </w:r>
          </w:p>
          <w:p w:rsidR="00B80A7C" w:rsidRPr="00D54E36" w:rsidRDefault="00000000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lastRenderedPageBreak/>
              <w:t xml:space="preserve">Responsabilidad de la implementación de los sistemas de control. </w:t>
            </w:r>
            <w:r w:rsidRPr="00D54E3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(C, A)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Formas y contenido de los informes.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(C)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Estructura en la redacción de observaciones y recomendaciones.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(C)</w:t>
            </w:r>
          </w:p>
          <w:p w:rsidR="00B80A7C" w:rsidRPr="007C5293" w:rsidRDefault="00000000" w:rsidP="00FC7D3F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Comunicación con los responsables del gobierno.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(P)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lastRenderedPageBreak/>
              <w:t>Comunicación con el directorio y los síndicos de las sociedades comerciales bolivianas conforme al Código de Comercio.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Revisión de la NIA 570 sobre empresa en funcionamiento aplicable a los periodos que comienzan a partir del 15 de diciembre de 2026.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Dictamen de auditoría externa sobre estados financieros exigido a determinados contribuyentes por el Servicio de Impuestos Nacionales, con presentación digital en el sistema SIAT.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Carta de recomendaciones de control interno como producto esperado por los clientes de auditoría en Bolivia.</w:t>
            </w:r>
          </w:p>
        </w:tc>
      </w:tr>
      <w:tr w:rsidR="007C5293" w:rsidRPr="007C5293">
        <w:tc>
          <w:tcPr>
            <w:tcW w:w="9394" w:type="dxa"/>
            <w:gridSpan w:val="1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Actividades</w:t>
            </w:r>
            <w:proofErr w:type="spellEnd"/>
          </w:p>
        </w:tc>
      </w:tr>
      <w:tr w:rsidR="007C5293" w:rsidRPr="007C5293"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Autónomas</w:t>
            </w:r>
            <w:proofErr w:type="spellEnd"/>
          </w:p>
        </w:tc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B-Learning</w:t>
            </w:r>
          </w:p>
        </w:tc>
        <w:tc>
          <w:tcPr>
            <w:tcW w:w="2347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Taller</w:t>
            </w:r>
          </w:p>
        </w:tc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Investigación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/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Práctica</w:t>
            </w:r>
            <w:proofErr w:type="spellEnd"/>
          </w:p>
        </w:tc>
      </w:tr>
      <w:tr w:rsidR="007C5293" w:rsidRPr="007C5293"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Lectura de</w:t>
            </w:r>
            <w:r w:rsidR="00FC7D3F"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l Código Internacional de Ética, las Normas Internacionales de Gestión de Calidad,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las Normas Internacionales de Auditoría aplicables a cada fase del encargo.</w:t>
            </w:r>
          </w:p>
          <w:p w:rsidR="00B80A7C" w:rsidRPr="007C529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Desarrollo progresivo del caso práctico integral de auditoría de una entidad privada.</w:t>
            </w:r>
          </w:p>
          <w:p w:rsidR="00B80A7C" w:rsidRPr="007C529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Resolución de ejercicios de materialidad y de muestreo al cierre de cada tema.</w:t>
            </w:r>
          </w:p>
        </w:tc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Cuestionarios de comprensión en la plataforma </w:t>
            </w:r>
            <w:r w:rsidR="00FC7D3F"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virtual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.</w:t>
            </w:r>
          </w:p>
          <w:p w:rsidR="00B80A7C" w:rsidRPr="007C529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Foros de consulta sobre casos de valoración de riesgos y de control interno.</w:t>
            </w:r>
          </w:p>
          <w:p w:rsidR="00B80A7C" w:rsidRPr="007C529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Videotutoriales del uso de herramientas de análisis de datos en la auditoría.</w:t>
            </w:r>
          </w:p>
          <w:p w:rsidR="00B80A7C" w:rsidRPr="007C529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Ejercicios de determinación de materialidad, muestreo y proyección de incorrecciones en hoja de cálculo.</w:t>
            </w:r>
          </w:p>
        </w:tc>
        <w:tc>
          <w:tcPr>
            <w:tcW w:w="2347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Elaboración colaborativa de papeles de trabajo de la fase de evaluación de riesgos.</w:t>
            </w:r>
          </w:p>
          <w:p w:rsidR="00B80A7C" w:rsidRPr="007C529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Flujogramación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guiada de procesos con identificación de riesgos y controles.</w:t>
            </w:r>
          </w:p>
          <w:p w:rsidR="00B80A7C" w:rsidRPr="007C529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Elaboración de la matriz de riesgos y respuestas de un encargo, con vinculación al procedimiento diseñado.</w:t>
            </w:r>
          </w:p>
        </w:tc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Análisis de informes de auditoría de estados financieros de entidades bolivianas.</w:t>
            </w:r>
          </w:p>
          <w:p w:rsidR="00B80A7C" w:rsidRPr="007C529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Comparación de herramientas tecnológicas emergentes aplicadas a la auditoría financiera.</w:t>
            </w:r>
          </w:p>
          <w:p w:rsidR="00B80A7C" w:rsidRPr="007C529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Revisión de las normas internacionales de auditoría emitidas o revisadas recientemente y de sus fechas de vigencia.</w:t>
            </w:r>
          </w:p>
        </w:tc>
      </w:tr>
      <w:tr w:rsidR="007C5293" w:rsidRPr="007C5293"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  <w:lang w:val="es-ES"/>
              </w:rPr>
              <w:t>Estrategias de aprendizaje y enseñanza</w:t>
            </w:r>
          </w:p>
        </w:tc>
        <w:tc>
          <w:tcPr>
            <w:tcW w:w="7045" w:type="dxa"/>
            <w:gridSpan w:val="11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Aprendizaje basado en problemas con casos de auditoría de entidades privadas bolivianas.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Caso</w:t>
            </w:r>
            <w:r w:rsidR="00580CDB"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s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práctico</w:t>
            </w:r>
            <w:r w:rsidR="00580CDB"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s en las etapas de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evaluación de riesgos, la respuesta al riesgo y la emisión del informe.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Elaboración de los papeles de trabajo del encargo de auditoría.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Estudio de casos de informes del auditor con opiniones modificadas.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Trabajo colaborativo en equipos de auditoría con roles diferenciados.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Análisis crítico de la evidencia obtenida antes de concluir sobre una aseveración.</w:t>
            </w:r>
          </w:p>
        </w:tc>
      </w:tr>
      <w:tr w:rsidR="007C5293" w:rsidRPr="007C5293"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Recursos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para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el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aprendizaje</w:t>
            </w:r>
            <w:proofErr w:type="spellEnd"/>
          </w:p>
        </w:tc>
        <w:tc>
          <w:tcPr>
            <w:tcW w:w="7045" w:type="dxa"/>
            <w:gridSpan w:val="11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Plataforma</w:t>
            </w:r>
            <w:r w:rsidR="00580CDB"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s</w:t>
            </w:r>
            <w:proofErr w:type="spellEnd"/>
            <w:r w:rsidR="00580CDB"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="00580CDB"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digitales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  <w:p w:rsidR="00580CDB" w:rsidRPr="007C5293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Compendio de Normas de Contabilidad y Auditoría del CAUB</w:t>
            </w:r>
          </w:p>
          <w:p w:rsidR="00B80A7C" w:rsidRPr="007C5293" w:rsidRDefault="00580CDB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Manual de Pronunciamientos Internacionales de </w:t>
            </w:r>
            <w:r w:rsidR="00000000"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Auditoría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, Revisión, Aseguramiento y Servicios Relacionados del IAASB</w:t>
            </w:r>
            <w:r w:rsidR="00000000"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.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Guía del IAASB para el uso de las Normas Internacionales de Auditoría en auditorías de pequeñas y medianas empresas.</w:t>
            </w:r>
          </w:p>
          <w:p w:rsidR="00B80A7C" w:rsidRPr="007C5293" w:rsidRDefault="00580CDB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Hoja de cálculo y herramientas de análisis de datos para los procedimientos de auditoría.</w:t>
            </w:r>
          </w:p>
          <w:p w:rsidR="00B80A7C" w:rsidRPr="007C5293" w:rsidRDefault="00000000" w:rsidP="00580CDB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Formatos de papeles de trabajo, programas de auditoría y modelos de informe elaborados por la cátedra.</w:t>
            </w:r>
          </w:p>
        </w:tc>
      </w:tr>
      <w:tr w:rsidR="007C5293" w:rsidRPr="007C5293"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Estrategias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de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evaluación</w:t>
            </w:r>
            <w:proofErr w:type="spellEnd"/>
          </w:p>
        </w:tc>
        <w:tc>
          <w:tcPr>
            <w:tcW w:w="7045" w:type="dxa"/>
            <w:gridSpan w:val="11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Evaluación diagnóstica: prueba inicial sobre los conocimientos previos de contabilidad.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Evaluación formativa: preguntas de comprensión y desarrollo de ejercicios prácticos en el aula, con retroalimentación continua, autoevaluación y coevaluación.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lastRenderedPageBreak/>
              <w:t>Evaluación sumativa: controles de lectura y asistencia, evaluación de casos prácticos, trabajos de investigación y desarrollo, exámenes parciales y examen final.</w:t>
            </w:r>
          </w:p>
        </w:tc>
      </w:tr>
      <w:tr w:rsidR="007C5293" w:rsidRPr="007C5293"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lastRenderedPageBreak/>
              <w:t>Criterios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de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calificación</w:t>
            </w:r>
            <w:proofErr w:type="spellEnd"/>
          </w:p>
        </w:tc>
        <w:tc>
          <w:tcPr>
            <w:tcW w:w="7045" w:type="dxa"/>
            <w:gridSpan w:val="11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Nota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mínima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aprobación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: 51/100.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Evaluación periódica al finalizar cada tema, basada en evidencias de conocimiento, desempeño y producto.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Cada evidencia de producto se evalúa con su propia rúbrica de tres niveles: Insuficiente, Suficiente y Destacado.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La calificación de cada elemento de competencia suma las calificaciones de sus evidencias de producto.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  <w:lang w:val="es-ES"/>
              </w:rPr>
              <w:t>Niveles de logro y distribución de la calificación</w:t>
            </w:r>
          </w:p>
        </w:tc>
        <w:tc>
          <w:tcPr>
            <w:tcW w:w="6261" w:type="dxa"/>
            <w:gridSpan w:val="11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  <w:lang w:val="es-ES"/>
              </w:rPr>
              <w:t xml:space="preserve">Producto 1: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Cuadro comparativo de los marcos de referencia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1%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B80A7C" w:rsidRPr="007C5293" w:rsidRDefault="00B80A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  <w:proofErr w:type="spellEnd"/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(81–100)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B80A7C" w:rsidRPr="007C5293" w:rsidRDefault="00B80A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Características</w:t>
            </w:r>
            <w:proofErr w:type="spellEnd"/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Confunde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los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marcos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Distingue las características de cada marco.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Explica la finalidad de cada marco para sus usuarios.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B80A7C" w:rsidRPr="007C5293" w:rsidRDefault="00B80A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Diferencias</w:t>
            </w:r>
            <w:proofErr w:type="spellEnd"/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Presenta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diferencias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imprecisas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Presenta las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diferencias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principales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Ejemplifica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cada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diferencia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B80A7C" w:rsidRPr="007C5293" w:rsidRDefault="00B80A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Presentación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El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cuadro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es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confuso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El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cuadro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es claro.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El cuadro es completo y ordenado.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B80A7C" w:rsidRPr="007C5293" w:rsidRDefault="00B80A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6261" w:type="dxa"/>
            <w:gridSpan w:val="11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  <w:lang w:val="es-ES"/>
              </w:rPr>
              <w:t xml:space="preserve">Producto 2: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Informe del marco aplicado por entidades bolivianas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1%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B80A7C" w:rsidRPr="007C5293" w:rsidRDefault="00B80A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  <w:proofErr w:type="spellEnd"/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(81–100)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B80A7C" w:rsidRPr="007C5293" w:rsidRDefault="00B80A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Identificación</w:t>
            </w:r>
            <w:proofErr w:type="spellEnd"/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No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identifica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el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marco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Identifica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el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marco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aplicado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Fundamenta la identificación en las notas de los estados financieros.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B80A7C" w:rsidRPr="007C5293" w:rsidRDefault="00B80A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Análisis</w:t>
            </w:r>
            <w:proofErr w:type="spellEnd"/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No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analiza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el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caso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Analiza el marco en relación con la entidad.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Evalúa si el marco es adecuado para los usuarios.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B80A7C" w:rsidRPr="007C5293" w:rsidRDefault="00B80A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Redacción</w:t>
            </w:r>
            <w:proofErr w:type="spellEnd"/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El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informe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es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confuso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El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informe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es claro.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El informe es técnico y fundamentado.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B80A7C" w:rsidRPr="007C5293" w:rsidRDefault="00B80A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6261" w:type="dxa"/>
            <w:gridSpan w:val="11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  <w:lang w:val="es-ES"/>
              </w:rPr>
              <w:t xml:space="preserve">Producto 3: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Esquema de los marcos de referencia vigentes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1%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B80A7C" w:rsidRPr="007C5293" w:rsidRDefault="00B80A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  <w:proofErr w:type="spellEnd"/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(81–100)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B80A7C" w:rsidRPr="007C5293" w:rsidRDefault="00B80A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Marcos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vigentes</w:t>
            </w:r>
            <w:proofErr w:type="spellEnd"/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Omite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marcos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Presenta los marcos vigentes en Bolivia y en el mundo.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Indica la norma que dispone cada marco.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B80A7C" w:rsidRPr="007C5293" w:rsidRDefault="00B80A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Relaciones</w:t>
            </w:r>
            <w:proofErr w:type="spellEnd"/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No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relaciona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los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marcos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Relaciona los marcos entre sí.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Explica la convergencia entre los marcos.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B80A7C" w:rsidRPr="007C5293" w:rsidRDefault="00B80A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Exposición</w:t>
            </w:r>
            <w:proofErr w:type="spellEnd"/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No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expone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el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esquema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Expone el esquema en equipo.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Responde con fundamento las preguntas.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B80A7C" w:rsidRPr="007C5293" w:rsidRDefault="00B80A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6261" w:type="dxa"/>
            <w:gridSpan w:val="11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  <w:lang w:val="es-ES"/>
              </w:rPr>
              <w:t xml:space="preserve">Producto 4: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Resumen de responsabilidades sobre el marco aplicable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1%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B80A7C" w:rsidRPr="007C5293" w:rsidRDefault="00B80A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  <w:proofErr w:type="spellEnd"/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(81–100)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B80A7C" w:rsidRPr="007C5293" w:rsidRDefault="00B80A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Responsabilidad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la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administración</w:t>
            </w:r>
            <w:proofErr w:type="spellEnd"/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gram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No</w:t>
            </w:r>
            <w:proofErr w:type="gram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la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identifica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Describe la responsabilidad de la administración.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La relaciona con las condiciones previas del encargo.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B80A7C" w:rsidRPr="007C5293" w:rsidRDefault="00B80A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Responsabilidad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del auditor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La confunde con la de la administración.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Describe la responsabilidad del auditor.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Delimita con precisión ambas responsabilidades.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B80A7C" w:rsidRPr="007C5293" w:rsidRDefault="00B80A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Redacción</w:t>
            </w:r>
            <w:proofErr w:type="spellEnd"/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El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resumen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es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confuso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El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resumen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es claro.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El resumen es preciso y técnico.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B80A7C" w:rsidRPr="007C5293" w:rsidRDefault="00B80A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6261" w:type="dxa"/>
            <w:gridSpan w:val="11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  <w:lang w:val="es-ES"/>
              </w:rPr>
              <w:t xml:space="preserve">Producto 5: </w:t>
            </w:r>
            <w:r w:rsidR="007C5293"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Mapa de los pronunciamientos profesionales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4%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B80A7C" w:rsidRPr="007C5293" w:rsidRDefault="00B80A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  <w:proofErr w:type="spellEnd"/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80A7C" w:rsidRPr="007C529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(81–100)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Estructura</w:t>
            </w:r>
            <w:proofErr w:type="spellEnd"/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Omite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pronunciamientos.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Clasifica los pronunciamientos del IAASB y del IESBA.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Incluye las normas de gestión de la calidad y su vigencia.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Convergencia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en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Bolivia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gram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No</w:t>
            </w:r>
            <w:proofErr w:type="gram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la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menciona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Describe la convergencia en Bolivia.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Identifica la resolución que la dispone.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Presentación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El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mapa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es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desordenado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El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mapa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es claro.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El mapa muestra las relaciones entre normas.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6261" w:type="dxa"/>
            <w:gridSpan w:val="11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  <w:lang w:val="es-ES"/>
              </w:rPr>
              <w:t xml:space="preserve">Producto 6: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Determinación del encargo y las normas aplicables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4%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  <w:proofErr w:type="spellEnd"/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(81–100)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Naturaleza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del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encargo</w:t>
            </w:r>
            <w:proofErr w:type="spellEnd"/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No identifica la naturaleza del encargo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Describe la naturaleza del encargo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Identifica el tipo de encargo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Identificación de las normas aplicables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gram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No</w:t>
            </w:r>
            <w:proofErr w:type="gram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la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menciona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Describe las normas aplicables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Identifica específicamente la norma aplicable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Grado de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Seguridad</w:t>
            </w:r>
            <w:proofErr w:type="spellEnd"/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No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los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menciona</w:t>
            </w:r>
            <w:proofErr w:type="spellEnd"/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Describe los grados de seguridad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Identifica el grado de seguridad y tipo de opinión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6261" w:type="dxa"/>
            <w:gridSpan w:val="11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  <w:lang w:val="es-ES"/>
              </w:rPr>
              <w:t xml:space="preserve">Producto 7: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Evaluación de la independencia de la firma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4%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  <w:proofErr w:type="spellEnd"/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(81–100)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Hechos</w:t>
            </w:r>
            <w:proofErr w:type="spellEnd"/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No identifica los hechos relevantes.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Identifica los hechos del caso.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Relaciona los hechos con las normas incumplidas.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Responsabilidad</w:t>
            </w:r>
            <w:proofErr w:type="spellEnd"/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No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determina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la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responsabilidad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Determina la responsabilidad ante clientes y terceros.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Distingue la responsabilidad profesional, civil y penal.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Salvaguardas</w:t>
            </w:r>
            <w:proofErr w:type="spellEnd"/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No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identifica</w:t>
            </w:r>
            <w:proofErr w:type="spellEnd"/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Identifica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salvaguardas</w:t>
            </w:r>
            <w:proofErr w:type="spellEnd"/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Propone medidas para mitigar el riesgo profesional.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6261" w:type="dxa"/>
            <w:gridSpan w:val="11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  <w:lang w:val="es-ES"/>
              </w:rPr>
              <w:t xml:space="preserve">Producto 8: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Matriz de riesgo profesional para la aceptación de clientes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4%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  <w:proofErr w:type="spellEnd"/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(81–100)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Factores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riesgo</w:t>
            </w:r>
            <w:proofErr w:type="spellEnd"/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Omite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factores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Identifica los factores de riesgo del cliente.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Pondera los factores según su efecto.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Evaluación</w:t>
            </w:r>
            <w:proofErr w:type="spellEnd"/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No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evalúa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el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riesgo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Evalúa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el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riesgo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profesional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Fundamenta la decisión de aceptar o rechazar.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Ética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e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independencia</w:t>
            </w:r>
            <w:proofErr w:type="spellEnd"/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gram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No</w:t>
            </w:r>
            <w:proofErr w:type="gram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las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considera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Considera los requerimientos de ética e independencia.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Identifica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amenazas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y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salvaguardas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61" w:type="dxa"/>
            <w:gridSpan w:val="11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  <w:lang w:val="es-ES"/>
              </w:rPr>
              <w:t xml:space="preserve">Producto 9: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Práctico de los componentes del riesgo de auditoría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2%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  <w:proofErr w:type="spellEnd"/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(81–100)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Componentes</w:t>
            </w:r>
            <w:proofErr w:type="spellEnd"/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Confunde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los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componentes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Distingue el riesgo inherente, de control y de detección.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Explica su naturaleza en cada caso.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Interrelación</w:t>
            </w:r>
            <w:proofErr w:type="spellEnd"/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No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relaciona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los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componentes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Determina el riesgo de detección aceptable.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Explica el efecto en la extensión de las pruebas.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Desarrollo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El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práctico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está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incompleto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Resuelve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todo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el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práctico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El desarrollo es ordenado y fundamentado.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6261" w:type="dxa"/>
            <w:gridSpan w:val="11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  <w:lang w:val="es-ES"/>
              </w:rPr>
              <w:t xml:space="preserve">Producto 10: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Esquema del proceso de auditoría basado en riesgos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2%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  <w:proofErr w:type="spellEnd"/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(81–100)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Fases</w:t>
            </w:r>
            <w:proofErr w:type="spellEnd"/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Omite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fases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Presenta las fases del proceso.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Relaciona cada fase con su norma.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Beneficios</w:t>
            </w:r>
            <w:proofErr w:type="spellEnd"/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No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los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identifica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Identifica los beneficios del enfoque.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Los contrasta con el enfoque tradicional.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Exposición</w:t>
            </w:r>
            <w:proofErr w:type="spellEnd"/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No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expone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el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esquema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Expone el esquema en equipo.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Responde con fundamento las preguntas.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6261" w:type="dxa"/>
            <w:gridSpan w:val="11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  <w:lang w:val="es-ES"/>
              </w:rPr>
              <w:t xml:space="preserve">Producto 11: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Cuadro de aseveraciones y riesgos de un rubro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2%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  <w:proofErr w:type="spellEnd"/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(81–100)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Aseveraciones</w:t>
            </w:r>
            <w:proofErr w:type="spellEnd"/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Confunde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las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aseveraciones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Identifica las aseveraciones del rubro.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Distingue las de transacciones y las de saldos.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Riesgos</w:t>
            </w:r>
            <w:proofErr w:type="spellEnd"/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No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asocia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riesgos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Asocia los riesgos a cada aseveración.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Prioriza los riesgos según su magnitud.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Respuesta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No propone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respuesta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Propone la respuesta del auditor.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La respuesta es específica para cada riesgo.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6261" w:type="dxa"/>
            <w:gridSpan w:val="11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  <w:lang w:val="es-ES"/>
              </w:rPr>
              <w:t xml:space="preserve">Producto 12: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Cuadro del enfoque para entidades menos complejas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2%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  <w:proofErr w:type="spellEnd"/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(81–100)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Características</w:t>
            </w:r>
            <w:proofErr w:type="spellEnd"/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gram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No</w:t>
            </w:r>
            <w:proofErr w:type="gram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las distingue.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Distingue las características de una entidad menos compleja.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Fundamenta la aplicabilidad de la norma específica.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Diferencias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enfoque</w:t>
            </w:r>
            <w:proofErr w:type="spellEnd"/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Presenta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diferencias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imprecisas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Presenta las diferencias de enfoque.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Explica su efecto en la documentación.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Trabajo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en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equipo</w:t>
            </w:r>
            <w:proofErr w:type="spellEnd"/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La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participación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es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desigual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Todos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los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integrantes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participan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El equipo resuelve los casos dudosos con argumentos técnicos.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6261" w:type="dxa"/>
            <w:gridSpan w:val="11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  <w:lang w:val="es-ES"/>
              </w:rPr>
              <w:t xml:space="preserve">Producto 13: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Papeles de trabajo de aceptación y entendimiento de la entidad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9%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  <w:proofErr w:type="spellEnd"/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(81–100)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Aceptación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del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encargo</w:t>
            </w:r>
            <w:proofErr w:type="spellEnd"/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Omite la evaluación del cliente.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Evalúa el cliente, la independencia y la carta de compromiso.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Documenta la decisión con su fundamento.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Entendimiento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la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entidad</w:t>
            </w:r>
            <w:proofErr w:type="spellEnd"/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El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entendimiento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es superficial.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Aplica el anexo 1 de la NIA 315.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Relaciona el entendimiento con los riesgos identificados.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Documentación</w:t>
            </w:r>
            <w:proofErr w:type="spellEnd"/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Los papeles no están referenciados.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Los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papeles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están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referenciados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Los papeles cumplen la forma y el contenido exigidos.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6261" w:type="dxa"/>
            <w:gridSpan w:val="11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  <w:lang w:val="es-ES"/>
              </w:rPr>
              <w:t xml:space="preserve">Producto 14: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Flujograma y matriz de riesgos y controles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9%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  <w:proofErr w:type="spellEnd"/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(81–100)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Flujograma</w:t>
            </w:r>
            <w:proofErr w:type="spellEnd"/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El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flujograma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omite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pasos.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Representa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el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proceso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completo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Identifica la información preparada por la entidad.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Riesgos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y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controles</w:t>
            </w:r>
            <w:proofErr w:type="spellEnd"/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No asocia controles a los riesgos.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Asocia los controles a cada riesgo.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Distingue controles manuales, automatizados y generales de TI.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Diseño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e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implementación</w:t>
            </w:r>
            <w:proofErr w:type="spellEnd"/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No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evalúa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el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diseño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Evalúa el diseño y la implementación con la prueba de recorrido.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Clasifica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las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deficiencias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detectadas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61" w:type="dxa"/>
            <w:gridSpan w:val="11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  <w:lang w:val="es-ES"/>
              </w:rPr>
              <w:t xml:space="preserve">Producto 15: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Cálculo de materialidad y procedimientos analíticos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9%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  <w:proofErr w:type="spellEnd"/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(81–100)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Base y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porcentaje</w:t>
            </w:r>
            <w:proofErr w:type="spellEnd"/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La base es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inadecuada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Selecciona una base y un porcentaje adecuados.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Justifica la base según los usuarios.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Niveles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materialidad</w:t>
            </w:r>
            <w:proofErr w:type="spellEnd"/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Omite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niveles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Calcula la materialidad, la de desempeño y el límite de acumulación.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Determina materialidades específicas cuando corresponde.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Procedimientos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analíticos</w:t>
            </w:r>
            <w:proofErr w:type="spellEnd"/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No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identifica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variaciones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Aplica el análisis vertical, horizontal y de ratios.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Relaciona las variaciones con los riesgos.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6261" w:type="dxa"/>
            <w:gridSpan w:val="11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Producto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 16: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Memorando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planificación</w:t>
            </w:r>
            <w:proofErr w:type="spellEnd"/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9%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  <w:proofErr w:type="spellEnd"/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(81–100)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Valoración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del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riesgo</w:t>
            </w:r>
            <w:proofErr w:type="spellEnd"/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No resume las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valoraciones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Resume la valoración del riesgo por aseveración.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Identifica los riesgos significativos y su respuesta.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Enfoque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planificado</w:t>
            </w:r>
            <w:proofErr w:type="spellEnd"/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No define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el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enfoque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Define el enfoque de auditoría planificado.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Justifica el enfoque por cada rubro.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Sustentación</w:t>
            </w:r>
            <w:proofErr w:type="spellEnd"/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No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sustenta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el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memorando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Sustenta el memorando ante el curso.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Responde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con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fundamento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normativo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61" w:type="dxa"/>
            <w:gridSpan w:val="11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  <w:lang w:val="es-ES"/>
              </w:rPr>
              <w:t xml:space="preserve">Producto 17: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Programa de auditoría de un rubro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6%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  <w:proofErr w:type="spellEnd"/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(81–100)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Vinculación</w:t>
            </w:r>
            <w:proofErr w:type="spellEnd"/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Los procedimientos no responden a los riesgos.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Vincula riesgos, aseveraciones y procedimientos.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Incluye un elemento de imprevisibilidad.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Procedimientos</w:t>
            </w:r>
            <w:proofErr w:type="spellEnd"/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Omite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procedimientos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Diseña pruebas de controles y sustantivas.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Define la naturaleza, oportunidad y extensión.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Presentación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El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programa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es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desordenado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El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programa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es claro.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El programa está referenciado a los papeles de trabajo.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6261" w:type="dxa"/>
            <w:gridSpan w:val="11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  <w:lang w:val="es-ES"/>
              </w:rPr>
              <w:t xml:space="preserve">Producto 18: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Papeles de pruebas de controles y pruebas analíticas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6%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  <w:proofErr w:type="spellEnd"/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(81–100)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Pruebas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controles</w:t>
            </w:r>
            <w:proofErr w:type="spellEnd"/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No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documenta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las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pruebas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Ejecuta y documenta las pruebas de controles.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Concluye sobre la eficacia operativa.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Procedimientos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analíticos</w:t>
            </w:r>
            <w:proofErr w:type="spellEnd"/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No define la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expectativa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Define la expectativa y compara con los registros.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Investiga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las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diferencias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significativas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Datos</w:t>
            </w:r>
            <w:proofErr w:type="spellEnd"/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No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verifica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los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datos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Verifica la integridad y exactitud de los datos.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Documenta el origen de los datos utilizados.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6261" w:type="dxa"/>
            <w:gridSpan w:val="11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  <w:lang w:val="es-ES"/>
              </w:rPr>
              <w:t xml:space="preserve">Producto 19: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Cédula de muestreo y proyección de incorrecciones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6%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  <w:proofErr w:type="spellEnd"/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(81–100)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Tamaño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la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muestra</w:t>
            </w:r>
            <w:proofErr w:type="spellEnd"/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El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tamaño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es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arbitrario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Determina el tamaño con un método estadístico.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Justifica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los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parámetros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utilizados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Selección</w:t>
            </w:r>
            <w:proofErr w:type="spellEnd"/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La selección no es aleatoria.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Selecciona la muestra con herramientas informáticas.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Documenta el criterio de selección.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Proyección</w:t>
            </w:r>
            <w:proofErr w:type="spellEnd"/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No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proyecta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las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incorrecciones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Proyecta las incorrecciones a la población.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Evalúa el resultado frente a la materialidad.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6261" w:type="dxa"/>
            <w:gridSpan w:val="11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  <w:lang w:val="es-ES"/>
              </w:rPr>
              <w:t xml:space="preserve">Producto 20: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Archivo de papeles de trabajo y carta de representaciones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6%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  <w:proofErr w:type="spellEnd"/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(81–100)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Organización</w:t>
            </w:r>
            <w:proofErr w:type="spellEnd"/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El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archivo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es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desordenado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El archivo está organizado y referenciado.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El archivo permite a un auditor experimentado entender el trabajo.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Carta de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representaciones</w:t>
            </w:r>
            <w:proofErr w:type="spellEnd"/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Omite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representaciones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Incluye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las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representaciones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requeridas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Adapta las representaciones al caso.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Conservación</w:t>
            </w:r>
            <w:proofErr w:type="spellEnd"/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No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considera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la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conservación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Aplica las reglas de terminación del archivo.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Aplica controles de acceso y trazabilidad.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6261" w:type="dxa"/>
            <w:gridSpan w:val="11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  <w:lang w:val="es-ES"/>
              </w:rPr>
              <w:t xml:space="preserve">Producto 21: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Resumen de incorrecciones y evaluación de la evidencia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3%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  <w:proofErr w:type="spellEnd"/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(81–100)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Incorrecciones</w:t>
            </w:r>
            <w:proofErr w:type="spellEnd"/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Omite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incorrecciones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Resume las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incorrecciones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detectadas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Distingue las corregidas de las no corregidas.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Efecto</w:t>
            </w:r>
            <w:proofErr w:type="spellEnd"/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No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evalúa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el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efecto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Evalúa el efecto frente a la materialidad.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Considera el efecto en la opinión.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Suficiencia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la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evidencia</w:t>
            </w:r>
            <w:proofErr w:type="spellEnd"/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No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concluye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Concluye sobre la suficiencia de la evidencia.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Reevalúa la materialidad y los riesgos.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6261" w:type="dxa"/>
            <w:gridSpan w:val="11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  <w:lang w:val="es-ES"/>
              </w:rPr>
              <w:t xml:space="preserve">Producto 22: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Comunicación a los responsables del gobierno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3%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  <w:proofErr w:type="spellEnd"/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(81–100)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Contenido</w:t>
            </w:r>
            <w:proofErr w:type="spellEnd"/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Omite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cuestiones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exigidas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Incluye las cuestiones que se deben comunicar.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Incluye la independencia y las deficiencias significativas.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Claridad</w:t>
            </w:r>
            <w:proofErr w:type="spellEnd"/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La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comunicación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es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confusa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La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comunicación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es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clara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La comunicación es precisa y oportuna.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Simulacro</w:t>
            </w:r>
            <w:proofErr w:type="spellEnd"/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No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participa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Participa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en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el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simulacro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Responde con fundamento las preguntas del gobierno.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6261" w:type="dxa"/>
            <w:gridSpan w:val="11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  <w:lang w:val="es-ES"/>
              </w:rPr>
              <w:t>Producto 23:</w:t>
            </w:r>
            <w:r w:rsidRPr="007C5293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  <w:lang w:val="es-ES"/>
              </w:rPr>
              <w:t xml:space="preserve"> Formación de opinión y el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Informe del auditor independiente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3%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  <w:proofErr w:type="spellEnd"/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(81–100)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Tipo de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opinión</w:t>
            </w:r>
            <w:proofErr w:type="spellEnd"/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La opinión no corresponde al caso.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Emite la opinión que corresponde.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Fundamenta la opinión en la evidencia.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Estructura</w:t>
            </w:r>
            <w:proofErr w:type="spellEnd"/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El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informe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omite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secciones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El informe tiene la estructura requerida.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Incluye párrafos de énfasis u otras cuestiones cuando corresponde.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Redacción</w:t>
            </w:r>
            <w:proofErr w:type="spellEnd"/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La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redacción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es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imprecisa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La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redacción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es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clara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La redacción es técnica y precisa.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6261" w:type="dxa"/>
            <w:gridSpan w:val="11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Producto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 24: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Carta de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recomendaciones</w:t>
            </w:r>
            <w:proofErr w:type="spellEnd"/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3%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  <w:proofErr w:type="spellEnd"/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(81–100)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Observaciones</w:t>
            </w:r>
            <w:proofErr w:type="spellEnd"/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Las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observaciones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son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vagas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Redacta observaciones con condición, criterio, causa y efecto.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Prioriza las observaciones según su importancia.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Recomendaciones</w:t>
            </w:r>
            <w:proofErr w:type="spellEnd"/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No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recomienda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Recomienda acciones para cada observación.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Las recomendaciones son viables y medibles.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Presentación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La carta es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desordenada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La carta es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clara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La carta tiene un formato profesional.</w:t>
            </w:r>
          </w:p>
        </w:tc>
      </w:tr>
      <w:tr w:rsidR="007C5293" w:rsidRPr="007C5293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6261" w:type="dxa"/>
            <w:gridSpan w:val="11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TOTAL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100%</w:t>
            </w:r>
          </w:p>
        </w:tc>
      </w:tr>
      <w:tr w:rsidR="007C5293" w:rsidRPr="007C5293">
        <w:tc>
          <w:tcPr>
            <w:tcW w:w="9394" w:type="dxa"/>
            <w:gridSpan w:val="1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  <w:lang w:val="es-ES"/>
              </w:rPr>
              <w:t>Bibliografía básica:</w:t>
            </w:r>
          </w:p>
          <w:p w:rsidR="007C5293" w:rsidRPr="007C5293" w:rsidRDefault="007C5293" w:rsidP="007C5293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Código de Comercio, Decreto Ley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N°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14379, de 25 de febrero de 1977.</w:t>
            </w:r>
          </w:p>
          <w:p w:rsidR="007C5293" w:rsidRPr="007C5293" w:rsidRDefault="007C5293" w:rsidP="007C5293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Código Tributario Boliviano, Ley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N°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2492, de 2 de agosto de 2003.</w:t>
            </w:r>
          </w:p>
          <w:p w:rsidR="007C5293" w:rsidRPr="007C5293" w:rsidRDefault="007C5293" w:rsidP="007C5293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Colegio de Auditores o Contadores Públicos de Bolivia, CAUB – Consejo Técnico Nacional de Auditoría y Contabilidad, CTNAC (2025).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Compendio</w:t>
            </w:r>
            <w:proofErr w:type="spellEnd"/>
            <w:r w:rsidRPr="007C5293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 xml:space="preserve"> de Normas de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Contabilidad</w:t>
            </w:r>
            <w:proofErr w:type="spellEnd"/>
            <w:r w:rsidRPr="007C5293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 xml:space="preserve"> y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Auditoría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. Santa Cruz.</w:t>
            </w:r>
          </w:p>
          <w:p w:rsidR="007C5293" w:rsidRPr="007C5293" w:rsidRDefault="007C5293" w:rsidP="007C5293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Committee of Sponsoring Organizations of the Treadway Commission –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PriceWaterhouseCoopers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; Instituto de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Auditores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Internos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(2013). </w:t>
            </w:r>
            <w:r w:rsidRPr="007C5293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  <w:lang w:val="es-ES"/>
              </w:rPr>
              <w:t>Control Interno: Marco Integrado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.</w:t>
            </w:r>
          </w:p>
          <w:p w:rsidR="007C5293" w:rsidRPr="007C5293" w:rsidRDefault="007C5293" w:rsidP="007C5293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Consejo Técnico Nacional de Auditoría y Contabilidad. Resolución CTNAC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N°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01/2015, de adopción de las Normas Internacionales de Auditoría en Bolivia.</w:t>
            </w:r>
          </w:p>
          <w:p w:rsidR="007C5293" w:rsidRPr="007C5293" w:rsidRDefault="007C5293" w:rsidP="007C5293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International Auditing and Assurance Standards Board, IAASB (2011). </w:t>
            </w:r>
            <w:r w:rsidRPr="007C5293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  <w:lang w:val="es-ES"/>
              </w:rPr>
              <w:t>Guía para el uso de las Normas Internacionales de Auditoría en auditorías de Pequeñas y Medianas Empresas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.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Tercera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Edición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Volumen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I y II.</w:t>
            </w:r>
          </w:p>
          <w:p w:rsidR="007C5293" w:rsidRPr="007C5293" w:rsidRDefault="007C5293" w:rsidP="007C5293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International Auditing and Assurance Standards Board, IAASB (2018). </w:t>
            </w:r>
            <w:r w:rsidRPr="007C5293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Guide to Using ISAs in the Audits of Small and Medium Sized Entities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. Fourth Edition,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Volumen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I y II.</w:t>
            </w:r>
          </w:p>
          <w:p w:rsidR="007C5293" w:rsidRPr="007C5293" w:rsidRDefault="007C5293" w:rsidP="007C5293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International Auditing and Assurance Standards Board, IAASB (2025). </w:t>
            </w:r>
            <w:r w:rsidRPr="007C5293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  <w:lang w:val="es-ES"/>
              </w:rPr>
              <w:t>Manual de Pronunciamientos Internacionales de Control de Calidad, Auditoría, Revisión, Otros Encargos de Aseguramiento y Servicios Relacionados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.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Edición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2024,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Volumen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I, II, III y IV.</w:t>
            </w:r>
          </w:p>
          <w:p w:rsidR="007C5293" w:rsidRPr="007C5293" w:rsidRDefault="007C5293" w:rsidP="007C5293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International Auditing and Assurance Standards Board, IAASB (2026). </w:t>
            </w:r>
            <w:r w:rsidRPr="007C5293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Handbook of International Quality Control, Auditing, Review, Other Assurance, and Related Services Pronouncements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. 2025 Edition, Volume I, II, III, IV and V.</w:t>
            </w:r>
          </w:p>
          <w:p w:rsidR="007C5293" w:rsidRPr="007C5293" w:rsidRDefault="007C5293" w:rsidP="007C5293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International Auditing and Assurance Standards Board, IAASB (2023).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Norma Internacional de Auditoría para auditorías de estados financieros de entidades menos complejas. Nueva York.</w:t>
            </w:r>
          </w:p>
          <w:p w:rsidR="007C5293" w:rsidRPr="007C5293" w:rsidRDefault="007C5293" w:rsidP="007C5293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International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Auditing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and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Assurance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Standards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Board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, IAASB (2024). Norma Internacional sobre Encargos de Aseguramiento de Sostenibilidad 5000. Nueva York.</w:t>
            </w:r>
          </w:p>
          <w:p w:rsidR="007C5293" w:rsidRPr="007C5293" w:rsidRDefault="007C5293" w:rsidP="007C5293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International Ethics Standards Board for Accountants, IESBA (2025). </w:t>
            </w:r>
            <w:r w:rsidRPr="007C5293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  <w:lang w:val="es-ES"/>
              </w:rPr>
              <w:t>Manual del Código de Ética para Contadores Profesionales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. Edición 2025.</w:t>
            </w:r>
          </w:p>
          <w:p w:rsidR="007C5293" w:rsidRPr="007C5293" w:rsidRDefault="007C5293" w:rsidP="007C5293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International Ethics Standards Board for Accountants, IESBA (2026). </w:t>
            </w:r>
            <w:r w:rsidRPr="007C5293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Handbook of the International Code of Ethics for Professional Accountants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. 2026 Edition, Volume I and II.</w:t>
            </w:r>
          </w:p>
          <w:p w:rsidR="007C5293" w:rsidRPr="007C5293" w:rsidRDefault="007C5293" w:rsidP="007C5293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Peláez, V. y Gonzales, C. (2017). </w:t>
            </w:r>
            <w:r w:rsidRPr="007C5293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  <w:lang w:val="es-ES"/>
              </w:rPr>
              <w:t>Informes de Auditoría de Estados Financieros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. Segunda Edición. La Paz – Bolivia.</w:t>
            </w:r>
          </w:p>
          <w:p w:rsidR="007C5293" w:rsidRPr="007C5293" w:rsidRDefault="007C5293" w:rsidP="007C5293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Peláez, V. y Gonzales, C. (2021). </w:t>
            </w:r>
            <w:r w:rsidRPr="007C5293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  <w:lang w:val="es-ES"/>
              </w:rPr>
              <w:t>Informes de Auditoría de Estados Financieros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. La Paz – Bolivia.</w:t>
            </w:r>
          </w:p>
        </w:tc>
      </w:tr>
      <w:tr w:rsidR="007C5293" w:rsidRPr="007C5293">
        <w:tc>
          <w:tcPr>
            <w:tcW w:w="9394" w:type="dxa"/>
            <w:gridSpan w:val="1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  <w:lang w:val="es-ES"/>
              </w:rPr>
              <w:lastRenderedPageBreak/>
              <w:t>Bibliografía complementaria:</w:t>
            </w:r>
          </w:p>
          <w:p w:rsidR="007C5293" w:rsidRPr="007C5293" w:rsidRDefault="007C5293" w:rsidP="007C5293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Arens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, A. y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Loebbecke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, J. (1996). </w:t>
            </w:r>
            <w:r w:rsidRPr="007C5293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  <w:lang w:val="es-ES"/>
              </w:rPr>
              <w:t>Auditoría: un enfoque integral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. Sexta Edición. México: Prentice Hall Hispanoamericana S.A.</w:t>
            </w:r>
          </w:p>
          <w:p w:rsidR="007C5293" w:rsidRPr="007C5293" w:rsidRDefault="007C5293" w:rsidP="007C5293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Colegio de Auditores o Contadores Públicos de Bolivia: https://www.auditores.org.bo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/>
            </w:r>
          </w:p>
          <w:p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Deloitte (2019). </w:t>
            </w:r>
            <w:r w:rsidRPr="007C5293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  <w:lang w:val="es-ES"/>
              </w:rPr>
              <w:t>Estándares Internacionales de Auditoría, Aseguramiento, Revisión, Otros Encargos de Aseguramiento, Servicios Relacionados y Control de Calidad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.</w:t>
            </w:r>
          </w:p>
          <w:p w:rsidR="007C5293" w:rsidRPr="007C5293" w:rsidRDefault="007C5293" w:rsidP="007C5293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Fowler Newton, E. (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s.f.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). </w:t>
            </w:r>
            <w:r w:rsidRPr="007C5293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  <w:lang w:val="es-ES"/>
              </w:rPr>
              <w:t>Auditoría aplicada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. Ediciones Macchi.</w:t>
            </w:r>
          </w:p>
          <w:p w:rsidR="007C5293" w:rsidRPr="007C5293" w:rsidRDefault="007C5293" w:rsidP="007C5293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International Auditing and Assurance Standards Board: </w:t>
            </w:r>
            <w:hyperlink r:id="rId7" w:history="1">
              <w:r w:rsidRPr="007C5293">
                <w:rPr>
                  <w:rStyle w:val="Hipervnculo"/>
                  <w:rFonts w:ascii="Century Gothic" w:hAnsi="Century Gothic" w:cs="Century Gothic" w:eastAsia="Century Gothic"/>
                  <w:sz w:val="18"/>
                  <w:szCs w:val="18"/>
                </w:rPr>
                <w:t>https://www.iaasb.org</w:t>
              </w:r>
            </w:hyperlink>
          </w:p>
          <w:p w:rsidR="007C5293" w:rsidRPr="007C5293" w:rsidRDefault="007C5293" w:rsidP="007C5293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Mantilla, S. A. (2004). </w:t>
            </w:r>
            <w:r w:rsidRPr="007C5293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  <w:lang w:val="es-ES"/>
              </w:rPr>
              <w:t>Auditoría 2005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. Bogotá – Colombia: ECOE Ediciones.</w:t>
            </w:r>
          </w:p>
          <w:p w:rsidR="007C5293" w:rsidRPr="007C5293" w:rsidRDefault="007C5293" w:rsidP="007C5293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Slosse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, C. (1995). </w:t>
            </w:r>
            <w:r w:rsidRPr="007C5293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  <w:lang w:val="es-ES"/>
              </w:rPr>
              <w:t>Auditoría: un nuevo enfoque empresarial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. Segunda Edición. Buenos Aires – Argentina: Ediciones Macchi.</w:t>
            </w:r>
          </w:p>
          <w:p w:rsidR="007C5293" w:rsidRPr="007C5293" w:rsidRDefault="007C5293" w:rsidP="007C5293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Whittington, R. y Pany, K. (2005). </w:t>
            </w:r>
            <w:r w:rsidRPr="007C5293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  <w:lang w:val="es-ES"/>
              </w:rPr>
              <w:t>Principios de Auditoría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. Decimocuarta Edición.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México: McGraw Hill.</w:t>
            </w:r>
          </w:p>
        </w:tc>
      </w:tr>
    </w:tbl>
    <w:p w:rsidR="009C3221" w:rsidRPr="007C5293" w:rsidRDefault="009C3221">
      <w:pPr>
        <w:spacing w:line="240" w:lineRule="auto"/>
        <w:rPr>
          <w:rFonts w:ascii="Century Gothic" w:hAnsi="Century Gothic" w:cs="Century Gothic" w:eastAsia="Century Gothic"/>
          <w:sz w:val="20"/>
          <w:szCs w:val="20"/>
        </w:rPr>
      </w:pPr>
    </w:p>
    <w:sectPr w:rsidR="009C3221" w:rsidRPr="007C5293">
      <w:footerReference w:type="default" r:id="rId8"/>
      <w:headerReference w:type="default" r:id="rId11"/>
      <w:pgSz w:w="12240" w:h="15840"/>
      <w:pgMar w:top="1701" w:right="1134" w:bottom="1134" w:left="1701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5B5C5A" w:rsidRDefault="005B5C5A">
      <w:r>
        <w:separator/>
      </w:r>
    </w:p>
  </w:endnote>
  <w:endnote w:type="continuationSeparator" w:id="0">
    <w:p w:rsidR="005B5C5A" w:rsidRDefault="005B5C5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spacing w:before="0" w:after="0" w:line="240" w:lineRule="auto"/>
      <w:jc w:val="right"/>
    </w:pPr>
    <w:r>
      <w:rPr>
        <w:rFonts w:ascii="Century Gothic" w:hAnsi="Century Gothic" w:cs="Century Gothic" w:eastAsia="Century Gothic"/>
        <w:sz w:val="20"/>
      </w:rPr>
      <w:fldChar w:fldCharType="begin"/>
      <w:instrText xml:space="preserve"> PAGE </w:instrText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5B5C5A" w:rsidRDefault="005B5C5A">
      <w:r>
        <w:separator/>
      </w:r>
    </w:p>
  </w:footnote>
  <w:footnote w:type="continuationSeparator" w:id="0">
    <w:p w:rsidR="005B5C5A" w:rsidRDefault="005B5C5A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Borders>
        <w:top w:val="nil"/>
        <w:left w:val="nil"/>
        <w:bottom w:val="single" w:sz="6" w:space="0" w:color="000000"/>
        <w:right w:val="nil"/>
        <w:insideH w:val="nil"/>
        <w:insideV w:val="nil"/>
      </w:tblBorders>
      <w:tblLayout w:type="fixed"/>
      <w:tblLook w:firstColumn="1" w:firstRow="1" w:lastColumn="0" w:lastRow="0" w:noHBand="0" w:noVBand="1" w:val="04A0"/>
    </w:tblPr>
    <w:tblGrid>
      <w:gridCol w:w="1247"/>
      <w:gridCol w:w="6911"/>
      <w:gridCol w:w="1247"/>
    </w:tblGrid>
    <w:tr>
      <w:tc>
        <w:tcPr>
          <w:tcW w:type="dxa" w:w="1247"/>
          <w:vAlign w:val="center"/>
        </w:tcPr>
        <w:p>
          <w:pPr>
            <w:spacing w:before="0" w:after="40" w:line="240" w:lineRule="auto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484248" cy="684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umsa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84248" cy="684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911"/>
          <w:vAlign w:val="center"/>
        </w:tcPr>
        <w:p>
          <w:pPr>
            <w:spacing w:before="0" w:after="0" w:line="240" w:lineRule="auto"/>
            <w:jc w:val="center"/>
          </w:pPr>
          <w:r>
            <w:rPr>
              <w:rFonts w:ascii="Century Gothic" w:hAnsi="Century Gothic" w:cs="Century Gothic" w:eastAsia="Century Gothic"/>
              <w:b/>
              <w:sz w:val="22"/>
            </w:rPr>
            <w:t>Universidad Mayor de “San Andrés”</w:t>
            <w:br/>
          </w:r>
          <w:r>
            <w:rPr>
              <w:rFonts w:ascii="Century Gothic" w:hAnsi="Century Gothic" w:cs="Century Gothic" w:eastAsia="Century Gothic"/>
              <w:b/>
              <w:sz w:val="22"/>
            </w:rPr>
            <w:t>Facultad de Ciencias Económicas y Financieras</w:t>
            <w:br/>
          </w:r>
          <w:r>
            <w:rPr>
              <w:rFonts w:ascii="Century Gothic" w:hAnsi="Century Gothic" w:cs="Century Gothic" w:eastAsia="Century Gothic"/>
              <w:b/>
              <w:sz w:val="22"/>
            </w:rPr>
            <w:t>Carrera Contaduría Pública</w:t>
          </w:r>
        </w:p>
      </w:tc>
      <w:tc>
        <w:tcPr>
          <w:tcW w:type="dxa" w:w="1247"/>
          <w:vAlign w:val="center"/>
        </w:tcPr>
        <w:p>
          <w:pPr>
            <w:spacing w:before="0" w:after="40" w:line="240" w:lineRule="auto"/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445846" cy="684000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carrera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45846" cy="684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spacing w:after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A537E8"/>
    <w:multiLevelType w:val="hybridMultilevel"/>
    <w:tmpl w:val="1A50C5B4"/>
    <w:lvl w:ilvl="0" w:tplc="435A1ECA">
      <w:start w:val="1"/>
      <w:numFmt w:val="bullet"/>
      <w:lvlText w:val=""/>
      <w:lvlJc w:val="left"/>
      <w:pPr>
        <w:ind w:left="260" w:hanging="220"/>
      </w:pPr>
      <w:rPr>
        <w:rFonts w:ascii="Wingdings" w:hAnsi="Wingdings" w:hint="default"/>
      </w:rPr>
    </w:lvl>
    <w:lvl w:ilvl="1" w:tplc="724AE5CE">
      <w:numFmt w:val="decimal"/>
      <w:lvlText w:val=""/>
      <w:lvlJc w:val="left"/>
    </w:lvl>
    <w:lvl w:ilvl="2" w:tplc="A1805798">
      <w:numFmt w:val="decimal"/>
      <w:lvlText w:val=""/>
      <w:lvlJc w:val="left"/>
    </w:lvl>
    <w:lvl w:ilvl="3" w:tplc="FB905368">
      <w:numFmt w:val="decimal"/>
      <w:lvlText w:val=""/>
      <w:lvlJc w:val="left"/>
    </w:lvl>
    <w:lvl w:ilvl="4" w:tplc="112E69AE">
      <w:numFmt w:val="decimal"/>
      <w:lvlText w:val=""/>
      <w:lvlJc w:val="left"/>
    </w:lvl>
    <w:lvl w:ilvl="5" w:tplc="C9AED400">
      <w:numFmt w:val="decimal"/>
      <w:lvlText w:val=""/>
      <w:lvlJc w:val="left"/>
    </w:lvl>
    <w:lvl w:ilvl="6" w:tplc="B4186D40">
      <w:numFmt w:val="decimal"/>
      <w:lvlText w:val=""/>
      <w:lvlJc w:val="left"/>
    </w:lvl>
    <w:lvl w:ilvl="7" w:tplc="BD281C3E">
      <w:numFmt w:val="decimal"/>
      <w:lvlText w:val=""/>
      <w:lvlJc w:val="left"/>
    </w:lvl>
    <w:lvl w:ilvl="8" w:tplc="E00EF866">
      <w:numFmt w:val="decimal"/>
      <w:lvlText w:val=""/>
      <w:lvlJc w:val="left"/>
    </w:lvl>
  </w:abstractNum>
  <w:abstractNum w:abstractNumId="1" w15:restartNumberingAfterBreak="0">
    <w:nsid w:val="43444B7D"/>
    <w:multiLevelType w:val="hybridMultilevel"/>
    <w:tmpl w:val="962CAD96"/>
    <w:lvl w:ilvl="0" w:tplc="EFAE8750">
      <w:start w:val="1"/>
      <w:numFmt w:val="decimal"/>
      <w:lvlText w:val="%1."/>
      <w:lvlJc w:val="left"/>
      <w:pPr>
        <w:ind w:left="400" w:hanging="380"/>
      </w:pPr>
    </w:lvl>
    <w:lvl w:ilvl="1" w:tplc="77B28456">
      <w:numFmt w:val="decimal"/>
      <w:lvlText w:val=""/>
      <w:lvlJc w:val="left"/>
    </w:lvl>
    <w:lvl w:ilvl="2" w:tplc="4CB415E8">
      <w:numFmt w:val="decimal"/>
      <w:lvlText w:val=""/>
      <w:lvlJc w:val="left"/>
    </w:lvl>
    <w:lvl w:ilvl="3" w:tplc="CAB2BD0E">
      <w:numFmt w:val="decimal"/>
      <w:lvlText w:val=""/>
      <w:lvlJc w:val="left"/>
    </w:lvl>
    <w:lvl w:ilvl="4" w:tplc="6D803338">
      <w:numFmt w:val="decimal"/>
      <w:lvlText w:val=""/>
      <w:lvlJc w:val="left"/>
    </w:lvl>
    <w:lvl w:ilvl="5" w:tplc="637E6E7A">
      <w:numFmt w:val="decimal"/>
      <w:lvlText w:val=""/>
      <w:lvlJc w:val="left"/>
    </w:lvl>
    <w:lvl w:ilvl="6" w:tplc="A61E4560">
      <w:numFmt w:val="decimal"/>
      <w:lvlText w:val=""/>
      <w:lvlJc w:val="left"/>
    </w:lvl>
    <w:lvl w:ilvl="7" w:tplc="D5329866">
      <w:numFmt w:val="decimal"/>
      <w:lvlText w:val=""/>
      <w:lvlJc w:val="left"/>
    </w:lvl>
    <w:lvl w:ilvl="8" w:tplc="ED602032">
      <w:numFmt w:val="decimal"/>
      <w:lvlText w:val=""/>
      <w:lvlJc w:val="left"/>
    </w:lvl>
  </w:abstractNum>
  <w:abstractNum w:abstractNumId="2" w15:restartNumberingAfterBreak="0">
    <w:nsid w:val="588521CC"/>
    <w:multiLevelType w:val="hybridMultilevel"/>
    <w:tmpl w:val="7FB01CB4"/>
    <w:lvl w:ilvl="0" w:tplc="77F0BACE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BEA0F4">
      <w:start w:val="1"/>
      <w:numFmt w:val="bullet"/>
      <w:lvlText w:val="–"/>
      <w:lvlJc w:val="left"/>
      <w:pPr>
        <w:ind w:left="1440" w:hanging="360"/>
      </w:pPr>
      <w:rPr>
        <w:rFonts w:ascii="Century Gothic" w:hAnsi="Century Gothic" w:cs="Century Gothic" w:hint="default"/>
      </w:rPr>
    </w:lvl>
    <w:lvl w:ilvl="2" w:tplc="2FAE9A0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7562FAA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4" w:tplc="EDCE7C80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5" w:tplc="9ABCAF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7B8E7F6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7" w:tplc="5FE2C590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8" w:tplc="D8CE121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22013921">
    <w:abstractNumId w:val="2"/>
    <w:lvlOverride w:ilvl="0">
      <w:startOverride w:val="1"/>
    </w:lvlOverride>
  </w:num>
  <w:num w:numId="2" w16cid:durableId="1934969653">
    <w:abstractNumId w:val="1"/>
    <w:lvlOverride w:ilvl="0">
      <w:startOverride w:val="1"/>
    </w:lvlOverride>
  </w:num>
  <w:num w:numId="3" w16cid:durableId="190532692">
    <w:abstractNumId w:val="0"/>
    <w:lvlOverride w:ilvl="0">
      <w:startOverride w:val="1"/>
    </w:lvlOverride>
  </w:num>
  <w:num w:numId="4" w16cid:durableId="1577594066">
    <w:abstractNumId w:val="1"/>
    <w:lvlOverride w:ilvl="0">
      <w:startOverride w:val="1"/>
    </w:lvlOverride>
  </w:num>
  <w:num w:numId="5" w16cid:durableId="100876401">
    <w:abstractNumId w:val="1"/>
    <w:lvlOverride w:ilvl="0">
      <w:startOverride w:val="1"/>
    </w:lvlOverride>
  </w:num>
  <w:num w:numId="6" w16cid:durableId="1030834816">
    <w:abstractNumId w:val="1"/>
    <w:lvlOverride w:ilvl="0">
      <w:startOverride w:val="1"/>
    </w:lvlOverride>
  </w:num>
  <w:num w:numId="7" w16cid:durableId="1319111512">
    <w:abstractNumId w:val="1"/>
    <w:lvlOverride w:ilvl="0">
      <w:startOverride w:val="1"/>
    </w:lvlOverride>
  </w:num>
  <w:num w:numId="8" w16cid:durableId="1772163708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80A7C"/>
    <w:rsid w:val="000D3FA6"/>
    <w:rsid w:val="00242B49"/>
    <w:rsid w:val="0027193B"/>
    <w:rsid w:val="002D68E0"/>
    <w:rsid w:val="0047413E"/>
    <w:rsid w:val="004B74D5"/>
    <w:rsid w:val="00580CDB"/>
    <w:rsid w:val="005B5C5A"/>
    <w:rsid w:val="007C5293"/>
    <w:rsid w:val="007D3CCD"/>
    <w:rsid w:val="009C3221"/>
    <w:rsid w:val="009F3FDD"/>
    <w:rsid w:val="00AD309E"/>
    <w:rsid w:val="00AD5587"/>
    <w:rsid w:val="00B80A7C"/>
    <w:rsid w:val="00B909C4"/>
    <w:rsid w:val="00CE51A4"/>
    <w:rsid w:val="00D54E36"/>
    <w:rsid w:val="00E07B24"/>
    <w:rsid w:val="00E32A5B"/>
    <w:rsid w:val="00E74641"/>
    <w:rsid w:val="00ED3F66"/>
    <w:rsid w:val="00F860CD"/>
    <w:rsid w:val="00FC7D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84A75F"/>
  <w15:docId w15:val="{1B136BC4-7C32-457A-929B-66B5813D00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entury Gothic" w:eastAsia="Century Gothic" w:hAnsi="Century Gothic" w:cs="Century Gothic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entury Gothic" w:hAnsi="Century Gothic"/>
      <w:sz w:val="20"/>
    </w:rPr>
  </w:style>
  <w:style w:type="paragraph" w:styleId="Ttulo1">
    <w:name w:val="heading 1"/>
    <w:uiPriority w:val="9"/>
    <w:qFormat/>
    <w:pPr>
      <w:outlineLvl w:val="0"/>
    </w:pPr>
    <w:rPr>
      <w:rFonts w:ascii="Century Gothic" w:hAnsi="Century Gothic" w:cs="Century Gothic" w:eastAsia="Century Gothic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rFonts w:ascii="Century Gothic" w:hAnsi="Century Gothic" w:cs="Century Gothic" w:eastAsia="Century Gothic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rFonts w:ascii="Century Gothic" w:hAnsi="Century Gothic" w:cs="Century Gothic" w:eastAsia="Century Gothic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rFonts w:ascii="Century Gothic" w:hAnsi="Century Gothic" w:cs="Century Gothic" w:eastAsia="Century Gothic"/>
      <w:i/>
      <w:iCs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rFonts w:ascii="Century Gothic" w:hAnsi="Century Gothic" w:cs="Century Gothic" w:eastAsia="Century Gothic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rFonts w:ascii="Century Gothic" w:hAnsi="Century Gothic" w:cs="Century Gothic" w:eastAsia="Century Gothic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rFonts w:ascii="Century Gothic" w:hAnsi="Century Gothic" w:cs="Century Gothic" w:eastAsia="Century Gothic"/>
      <w:sz w:val="56"/>
      <w:szCs w:val="56"/>
    </w:rPr>
  </w:style>
  <w:style w:type="paragraph" w:customStyle="1" w:styleId="Textoennegrita1">
    <w:name w:val="Texto en negrita1"/>
    <w:qFormat/>
    <w:rPr>
      <w:rFonts w:ascii="Century Gothic" w:hAnsi="Century Gothic" w:cs="Century Gothic" w:eastAsia="Century Gothic"/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rFonts w:ascii="Century Gothic" w:hAnsi="Century Gothic" w:cs="Century Gothic" w:eastAsia="Century Gothic"/>
      <w:u w:val="single"/>
    </w:rPr>
  </w:style>
  <w:style w:type="character" w:styleId="Refdenotaalpie">
    <w:name w:val="footnote reference"/>
    <w:uiPriority w:val="99"/>
    <w:semiHidden/>
    <w:unhideWhenUsed/>
    <w:rPr>
      <w:rFonts w:ascii="Century Gothic" w:hAnsi="Century Gothic" w:cs="Century Gothic" w:eastAsia="Century Gothic"/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character" w:styleId="Refdenotaalfinal">
    <w:name w:val="endnote reference"/>
    <w:uiPriority w:val="99"/>
    <w:semiHidden/>
    <w:unhideWhenUsed/>
    <w:rPr>
      <w:rFonts w:ascii="Century Gothic" w:hAnsi="Century Gothic" w:cs="Century Gothic" w:eastAsia="Century Gothic"/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character" w:styleId="Mencinsinresolver">
    <w:name w:val="Unresolved Mention"/>
    <w:basedOn w:val="Fuentedeprrafopredeter"/>
    <w:uiPriority w:val="99"/>
    <w:semiHidden/>
    <w:unhideWhenUsed/>
    <w:rsid w:val="00580CDB"/>
    <w:rPr>
      <w:rFonts w:ascii="Century Gothic" w:hAnsi="Century Gothic" w:cs="Century Gothic" w:eastAsia="Century Gothic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www.iaasb.org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1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185</TotalTime>
  <Pages>19</Pages>
  <Words>7013</Words>
  <Characters>39977</Characters>
  <Application>Microsoft Office Word</Application>
  <DocSecurity>0</DocSecurity>
  <Lines>333</Lines>
  <Paragraphs>93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46897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Carlos Gonzales Alanes</cp:lastModifiedBy>
  <cp:revision>7</cp:revision>
  <dcterms:created xsi:type="dcterms:W3CDTF">2026-10-08T00:13:00Z</dcterms:created>
  <dcterms:modified xsi:type="dcterms:W3CDTF">2026-10-09T01:35:00Z</dcterms:modified>
</cp:coreProperties>
</file>