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Antecedentes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Antecedentes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2.1</w:t>
        <w:tab/>
      </w:r>
      <w:r>
        <w:rPr>
          <w:rFonts w:ascii="Century Gothic" w:hAnsi="Century Gothic" w:cs="Century Gothic" w:eastAsia="Century Gothic"/>
          <w:b/>
          <w:i w:val="0"/>
          <w:sz w:val="24"/>
        </w:rPr>
        <w:t>Datos generales del programa/carrera</w:t>
      </w:r>
    </w:p>
    <w:p>
      <w:pPr>
        <w:spacing w:before="0" w:after="200" w:line="240" w:lineRule="auto"/>
        <w:jc w:val="both"/>
      </w:pPr>
      <w:r>
        <w:rPr>
          <w:rFonts w:ascii="Century Gothic" w:hAnsi="Century Gothic" w:cs="Century Gothic" w:eastAsia="Century Gothic"/>
          <w:b w:val="0"/>
          <w:i w:val="0"/>
          <w:sz w:val="20"/>
        </w:rPr>
        <w:t>La Carrera de Contaduría Pública es una unidad académica de la Facultad de Ciencias Económicas y Financieras de la Universidad Mayor de San Andrés. Sus datos generales se resumen en el siguiente cuadro:</w:t>
      </w:r>
    </w:p>
    <w:tbl>
      <w:tblPr>
        <w:tblW w:type="auto" w:w="0"/>
        <w:jc w:val="center"/>
        <w:tblLayout w:type="fixed"/>
        <w:tblLook w:firstColumn="1" w:firstRow="1" w:lastColumn="0" w:lastRow="0" w:noHBand="0" w:noVBand="1" w:val="04A0"/>
      </w:tblPr>
      <w:tblGrid>
        <w:gridCol w:w="2835"/>
        <w:gridCol w:w="6236"/>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Dato</w:t>
            </w:r>
          </w:p>
        </w:tc>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Descripción</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Universidad</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Universidad Mayor de San Andrés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Facultad</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Facultad de Ciencias Económicas y Financieras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Carrera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Contaduría Pública, antes Carrera de Auditoría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Fecha de fundación</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25 de agosto de 1970</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Director de Carrera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MSc. René Mejía Flores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Sede</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Ciudad de La Paz, con programa desconcentrado de Técnico Superior en el Centro Regional Universitario Yungas, en Chulumani, y en la Sede Universitaria Local Caranavi</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Plan de estudios vigente</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Plan de Estudios 2024</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Grado académico terminal</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Licenciatura en Contaduría Pública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Título en provisión nacional</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Contador Público Autorizado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Grado y título intermedios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Universitario Superior en Contabilidad General y título en provisión nacional de Contador General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Modalidad</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Presencial, régimen anual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Estudiantes matriculados, gestión 2025</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4.283</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Estudiantes inscritos, gestión 2025</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3.143</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Docentes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183 designaciones docentes, de las cuales 85 corresponden a docentes titulares y 98 a docentes interinos e invitados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Personal administrativo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23 servidores, 10 de planta y 13 contratados</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Unidades dependientes</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Instituto de Investigaciones de Ciencias Contables, Financieras y Auditoría, y Unidad de Postgrado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Acreditación</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Resolución N.º 09/2015 de la VI Conferencia Nacional Extraordinaria de Universidades</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2.2</w:t>
        <w:tab/>
      </w:r>
      <w:r>
        <w:rPr>
          <w:rFonts w:ascii="Century Gothic" w:hAnsi="Century Gothic" w:cs="Century Gothic" w:eastAsia="Century Gothic"/>
          <w:b/>
          <w:i w:val="0"/>
          <w:sz w:val="24"/>
        </w:rPr>
        <w:t>Misión, visión de la carrera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2.2.1</w:t>
        <w:tab/>
      </w:r>
      <w:r>
        <w:rPr>
          <w:rFonts w:ascii="Century Gothic" w:hAnsi="Century Gothic" w:cs="Century Gothic" w:eastAsia="Century Gothic"/>
          <w:b/>
          <w:i w:val="0"/>
          <w:sz w:val="22"/>
        </w:rPr>
        <w:t>Visión</w:t>
      </w:r>
    </w:p>
    <w:p>
      <w:pPr>
        <w:spacing w:before="0" w:after="200" w:line="240" w:lineRule="auto"/>
        <w:jc w:val="both"/>
      </w:pPr>
      <w:r>
        <w:rPr>
          <w:rFonts w:ascii="Century Gothic" w:hAnsi="Century Gothic" w:cs="Century Gothic" w:eastAsia="Century Gothic"/>
          <w:b w:val="0"/>
          <w:i w:val="0"/>
          <w:sz w:val="20"/>
        </w:rPr>
        <w:t>Ser una unidad académica líder a nivel nacional y referente a nivel internacional en la formación integral de Contadores Públicos Autorizados de excelencia académica, altamente competitivos e innovadores, capaces de liderar la transformación digital, la sostenibilidad y la gobernanza organizacional, respondiendo con rigor ético a los desafíos del Estado, la sociedad y el mercado laboral global.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2.2.2</w:t>
        <w:tab/>
      </w:r>
      <w:r>
        <w:rPr>
          <w:rFonts w:ascii="Century Gothic" w:hAnsi="Century Gothic" w:cs="Century Gothic" w:eastAsia="Century Gothic"/>
          <w:b/>
          <w:i w:val="0"/>
          <w:sz w:val="22"/>
        </w:rPr>
        <w:t>Misión</w:t>
      </w:r>
    </w:p>
    <w:p>
      <w:pPr>
        <w:spacing w:before="0" w:after="200" w:line="240" w:lineRule="auto"/>
        <w:jc w:val="both"/>
      </w:pPr>
      <w:r>
        <w:rPr>
          <w:rFonts w:ascii="Century Gothic" w:hAnsi="Century Gothic" w:cs="Century Gothic" w:eastAsia="Century Gothic"/>
          <w:b w:val="0"/>
          <w:i w:val="0"/>
          <w:sz w:val="20"/>
        </w:rPr>
        <w:t>Formar Contadores Públicos Autorizados con sólida excelencia científica, técnica, ética y humanística, competentes en el diseño, preparación, aseguramiento y análisis estratégico de información financiera y no financiera. Impulsar el pensamiento crítico, la innovación tecnológica (IA y analítica de datos) y la adaptabilidad para promover el interés público, la transparencia y el desarrollo sostenible de las organizaciones públicas y privadas.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2.2.3</w:t>
        <w:tab/>
      </w:r>
      <w:r>
        <w:rPr>
          <w:rFonts w:ascii="Century Gothic" w:hAnsi="Century Gothic" w:cs="Century Gothic" w:eastAsia="Century Gothic"/>
          <w:b/>
          <w:i w:val="0"/>
          <w:sz w:val="22"/>
        </w:rPr>
        <w:t>Valores</w:t>
      </w:r>
    </w:p>
    <w:p>
      <w:pPr>
        <w:spacing w:before="0" w:after="200" w:line="240" w:lineRule="auto"/>
        <w:jc w:val="both"/>
      </w:pPr>
      <w:r>
        <w:rPr>
          <w:rFonts w:ascii="Century Gothic" w:hAnsi="Century Gothic" w:cs="Century Gothic" w:eastAsia="Century Gothic"/>
          <w:b w:val="0"/>
          <w:i w:val="0"/>
          <w:sz w:val="20"/>
        </w:rPr>
        <w:t>Todos los actores involucrados en la gestión académica y administrativa de la Carrera practican los siguientes valores institucionales:</w:t>
      </w:r>
    </w:p>
    <w:p>
      <w:pPr>
        <w:numPr>
          <w:ilvl w:val="0"/>
          <w:numId w:val="901"/>
        </w:numPr>
        <w:spacing w:before="0" w:after="160" w:line="240" w:lineRule="auto"/>
        <w:jc w:val="both"/>
      </w:pPr>
      <w:r>
        <w:rPr>
          <w:rFonts w:ascii="Century Gothic" w:hAnsi="Century Gothic" w:cs="Century Gothic" w:eastAsia="Century Gothic"/>
          <w:b/>
          <w:i w:val="0"/>
          <w:sz w:val="20"/>
        </w:rPr>
        <w:t>Excelencia profesional.</w:t>
      </w:r>
      <w:r>
        <w:rPr>
          <w:rFonts w:ascii="Century Gothic" w:hAnsi="Century Gothic" w:cs="Century Gothic" w:eastAsia="Century Gothic"/>
          <w:b w:val="0"/>
          <w:i w:val="0"/>
          <w:sz w:val="20"/>
        </w:rPr>
        <w:t xml:space="preserve"> Buscamos la máxima calidad en la formación y el ejercicio profesional, promoviendo el conocimiento riguroso, la competencia técnica actualizada, la diligencia y la búsqueda constante del aprendizaje a lo largo de la vida.</w:t>
      </w:r>
    </w:p>
    <w:p>
      <w:pPr>
        <w:numPr>
          <w:ilvl w:val="0"/>
          <w:numId w:val="901"/>
        </w:numPr>
        <w:spacing w:before="0" w:after="160" w:line="240" w:lineRule="auto"/>
        <w:jc w:val="both"/>
      </w:pPr>
      <w:r>
        <w:rPr>
          <w:rFonts w:ascii="Century Gothic" w:hAnsi="Century Gothic" w:cs="Century Gothic" w:eastAsia="Century Gothic"/>
          <w:b/>
          <w:i w:val="0"/>
          <w:sz w:val="20"/>
        </w:rPr>
        <w:t>Integridad.</w:t>
      </w:r>
      <w:r>
        <w:rPr>
          <w:rFonts w:ascii="Century Gothic" w:hAnsi="Century Gothic" w:cs="Century Gothic" w:eastAsia="Century Gothic"/>
          <w:b w:val="0"/>
          <w:i w:val="0"/>
          <w:sz w:val="20"/>
        </w:rPr>
        <w:t xml:space="preserve"> Actuamos con honestidad, transparencia, independencia de criterio y coherencia, garantizando el interés público y defendiendo los principios éticos del Código de Ética del IESBA frente a cualquier presión o conflicto de interés.</w:t>
      </w:r>
    </w:p>
    <w:p>
      <w:pPr>
        <w:numPr>
          <w:ilvl w:val="0"/>
          <w:numId w:val="901"/>
        </w:numPr>
        <w:spacing w:before="0" w:after="160" w:line="240" w:lineRule="auto"/>
        <w:jc w:val="both"/>
      </w:pPr>
      <w:r>
        <w:rPr>
          <w:rFonts w:ascii="Century Gothic" w:hAnsi="Century Gothic" w:cs="Century Gothic" w:eastAsia="Century Gothic"/>
          <w:b/>
          <w:i w:val="0"/>
          <w:sz w:val="20"/>
        </w:rPr>
        <w:t>Innovación.</w:t>
      </w:r>
      <w:r>
        <w:rPr>
          <w:rFonts w:ascii="Century Gothic" w:hAnsi="Century Gothic" w:cs="Century Gothic" w:eastAsia="Century Gothic"/>
          <w:b w:val="0"/>
          <w:i w:val="0"/>
          <w:sz w:val="20"/>
        </w:rPr>
        <w:t xml:space="preserve"> Impulsamos la transformación digital y la creatividad, integrando tecnologías emergentes como la inteligencia artificial, Big Data y la automatización, y nuevas metodologías para resolver problemas financieros y organizacionales complejos.</w:t>
      </w:r>
    </w:p>
    <w:p>
      <w:pPr>
        <w:numPr>
          <w:ilvl w:val="0"/>
          <w:numId w:val="901"/>
        </w:numPr>
        <w:spacing w:before="0" w:after="160" w:line="240" w:lineRule="auto"/>
        <w:jc w:val="both"/>
      </w:pPr>
      <w:r>
        <w:rPr>
          <w:rFonts w:ascii="Century Gothic" w:hAnsi="Century Gothic" w:cs="Century Gothic" w:eastAsia="Century Gothic"/>
          <w:b/>
          <w:i w:val="0"/>
          <w:sz w:val="20"/>
        </w:rPr>
        <w:t>Adaptabilidad.</w:t>
      </w:r>
      <w:r>
        <w:rPr>
          <w:rFonts w:ascii="Century Gothic" w:hAnsi="Century Gothic" w:cs="Century Gothic" w:eastAsia="Century Gothic"/>
          <w:b w:val="0"/>
          <w:i w:val="0"/>
          <w:sz w:val="20"/>
        </w:rPr>
        <w:t xml:space="preserve"> Respondemos con agilidad, flexibilidad y visión anticipatoria a las transformaciones normativas, tecnológicas, económicas y sociales, convirtiendo la incertidumbre del entorno en oportunidades de desarrollo.</w:t>
      </w:r>
    </w:p>
    <w:p>
      <w:pPr>
        <w:numPr>
          <w:ilvl w:val="0"/>
          <w:numId w:val="901"/>
        </w:numPr>
        <w:spacing w:before="0" w:after="160" w:line="240" w:lineRule="auto"/>
        <w:jc w:val="both"/>
      </w:pPr>
      <w:r>
        <w:rPr>
          <w:rFonts w:ascii="Century Gothic" w:hAnsi="Century Gothic" w:cs="Century Gothic" w:eastAsia="Century Gothic"/>
          <w:b/>
          <w:i w:val="0"/>
          <w:sz w:val="20"/>
        </w:rPr>
        <w:t>Pensamiento crítico.</w:t>
      </w:r>
      <w:r>
        <w:rPr>
          <w:rFonts w:ascii="Century Gothic" w:hAnsi="Century Gothic" w:cs="Century Gothic" w:eastAsia="Century Gothic"/>
          <w:b w:val="0"/>
          <w:i w:val="0"/>
          <w:sz w:val="20"/>
        </w:rPr>
        <w:t xml:space="preserve"> Evaluamos la evidencia con rigor analítico, cuestionamos supuestos y evaluamos riesgos de manera multidimensional, fundamentando el juicio profesional e independiente en la toma de decisiones.</w:t>
      </w:r>
    </w:p>
    <w:p>
      <w:pPr>
        <w:numPr>
          <w:ilvl w:val="0"/>
          <w:numId w:val="901"/>
        </w:numPr>
        <w:spacing w:before="0" w:after="200" w:line="240" w:lineRule="auto"/>
        <w:jc w:val="both"/>
      </w:pPr>
      <w:r>
        <w:rPr>
          <w:rFonts w:ascii="Century Gothic" w:hAnsi="Century Gothic" w:cs="Century Gothic" w:eastAsia="Century Gothic"/>
          <w:b/>
          <w:i w:val="0"/>
          <w:sz w:val="20"/>
        </w:rPr>
        <w:t>Responsabilidad social.</w:t>
      </w:r>
      <w:r>
        <w:rPr>
          <w:rFonts w:ascii="Century Gothic" w:hAnsi="Century Gothic" w:cs="Century Gothic" w:eastAsia="Century Gothic"/>
          <w:b w:val="0"/>
          <w:i w:val="0"/>
          <w:sz w:val="20"/>
        </w:rPr>
        <w:t xml:space="preserve"> Ejercemos la profesión con un compromiso inquebrantable hacia el interés público, la transparencia institucional, la equidad y la sostenibilidad ambiental, social y de gobernanza.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2.3</w:t>
        <w:tab/>
      </w:r>
      <w:r>
        <w:rPr>
          <w:rFonts w:ascii="Century Gothic" w:hAnsi="Century Gothic" w:cs="Century Gothic" w:eastAsia="Century Gothic"/>
          <w:b/>
          <w:i w:val="0"/>
          <w:sz w:val="24"/>
        </w:rPr>
        <w:t>Plan de desarrollo de la carrera</w:t>
      </w:r>
    </w:p>
    <w:p>
      <w:pPr>
        <w:spacing w:before="0" w:after="200" w:line="240" w:lineRule="auto"/>
        <w:jc w:val="both"/>
      </w:pPr>
      <w:r>
        <w:rPr>
          <w:rFonts w:ascii="Century Gothic" w:hAnsi="Century Gothic" w:cs="Century Gothic" w:eastAsia="Century Gothic"/>
          <w:b w:val="0"/>
          <w:i w:val="0"/>
          <w:sz w:val="20"/>
        </w:rPr>
        <w:t>El Reglamento de Innovación Curricular, aprobado mediante Resolución del Honorable Consejo Universitario N.º 032/2025, establece en su Artículo 12 que el plan de desarrollo de la Carrera debe estar alineado y armonizado con el de la Universidad Mayor de San Andrés.</w:t>
      </w:r>
    </w:p>
    <w:p>
      <w:pPr>
        <w:spacing w:before="0" w:after="200" w:line="240" w:lineRule="auto"/>
        <w:jc w:val="both"/>
      </w:pPr>
      <w:r>
        <w:rPr>
          <w:rFonts w:ascii="Century Gothic" w:hAnsi="Century Gothic" w:cs="Century Gothic" w:eastAsia="Century Gothic"/>
          <w:b w:val="0"/>
          <w:i w:val="0"/>
          <w:sz w:val="20"/>
          <w:highlight w:val="green"/>
        </w:rPr>
        <w:t>La planificación de la Universidad se rige por el Plan Estratégico Institucional 2021-2025 con visión al 2030, aprobado mediante Resolución del Honorable Consejo Universitario N.º 355/2023, de 6 de septiembre de 2023, que organiza su acción en las áreas de formación profesional, investigación, interacción social y gestión institucional.</w:t>
      </w:r>
    </w:p>
    <w:p>
      <w:pPr>
        <w:spacing w:before="0" w:after="200" w:line="240" w:lineRule="auto"/>
        <w:jc w:val="both"/>
      </w:pPr>
      <w:r>
        <w:rPr>
          <w:rFonts w:ascii="Century Gothic" w:hAnsi="Century Gothic" w:cs="Century Gothic" w:eastAsia="Century Gothic"/>
          <w:b w:val="0"/>
          <w:i w:val="0"/>
          <w:sz w:val="20"/>
        </w:rPr>
        <w:t>En concordancia con ese marco, los ejes estratégicos de la Carrera, definidos en el punto 2.4, se articulan con las áreas del Plan Estratégico Institucional de la siguiente manera:</w:t>
      </w:r>
    </w:p>
    <w:tbl>
      <w:tblPr>
        <w:tblW w:type="auto" w:w="0"/>
        <w:jc w:val="center"/>
        <w:tblLayout w:type="fixed"/>
        <w:tblLook w:firstColumn="1" w:firstRow="1" w:lastColumn="0" w:lastRow="0" w:noHBand="0" w:noVBand="1" w:val="04A0"/>
      </w:tblPr>
      <w:tblGrid>
        <w:gridCol w:w="2835"/>
        <w:gridCol w:w="6236"/>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Área del PEI UMSA</w:t>
            </w:r>
          </w:p>
        </w:tc>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Eje estratégico de la Carrera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highlight w:val="green"/>
              </w:rPr>
              <w:t>Formación profesional</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Calidad y pertinencia curricular</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Transformación digital e innovación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Internacionalización y movilidad global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highlight w:val="green"/>
              </w:rPr>
              <w:t>Investigación</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Investigación y pensamiento crítico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highlight w:val="green"/>
              </w:rPr>
              <w:t>Interacción social</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Vinculación práctica e interacción social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highlight w:val="green"/>
              </w:rPr>
              <w:t>Gestión institucional</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Ética, responsabilidad pública y gobernanza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El plan de desarrollo específico de la Carrera, con sus metas, indicadores y plazos, será incorporado por la Dirección de Carrera una vez concluida su actualización.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2.4</w:t>
        <w:tab/>
      </w:r>
      <w:r>
        <w:rPr>
          <w:rFonts w:ascii="Century Gothic" w:hAnsi="Century Gothic" w:cs="Century Gothic" w:eastAsia="Century Gothic"/>
          <w:b/>
          <w:i w:val="0"/>
          <w:sz w:val="24"/>
        </w:rPr>
        <w:t>Objetivos del programa/carrera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2.4.1</w:t>
        <w:tab/>
      </w:r>
      <w:r>
        <w:rPr>
          <w:rFonts w:ascii="Century Gothic" w:hAnsi="Century Gothic" w:cs="Century Gothic" w:eastAsia="Century Gothic"/>
          <w:b/>
          <w:i w:val="0"/>
          <w:sz w:val="22"/>
        </w:rPr>
        <w:t>Ejes estratégicos y objetivos de la Carrera</w:t>
      </w:r>
    </w:p>
    <w:p>
      <w:pPr>
        <w:spacing w:before="0" w:after="200" w:line="240" w:lineRule="auto"/>
        <w:jc w:val="both"/>
      </w:pPr>
      <w:r>
        <w:rPr>
          <w:rFonts w:ascii="Century Gothic" w:hAnsi="Century Gothic" w:cs="Century Gothic" w:eastAsia="Century Gothic"/>
          <w:b w:val="0"/>
          <w:i w:val="0"/>
          <w:sz w:val="20"/>
        </w:rPr>
        <w:t>Los objetivos institucionales de la Carrera de Contaduría Pública se estructuran en seis ejes estratégicos:</w:t>
      </w:r>
    </w:p>
    <w:p>
      <w:pPr>
        <w:numPr>
          <w:ilvl w:val="0"/>
          <w:numId w:val="902"/>
        </w:numPr>
        <w:spacing w:before="0" w:after="160" w:line="240" w:lineRule="auto"/>
        <w:jc w:val="both"/>
      </w:pPr>
      <w:r>
        <w:rPr>
          <w:rFonts w:ascii="Century Gothic" w:hAnsi="Century Gothic" w:cs="Century Gothic" w:eastAsia="Century Gothic"/>
          <w:b/>
          <w:i w:val="0"/>
          <w:sz w:val="20"/>
        </w:rPr>
        <w:t>Calidad y pertinencia curricular:</w:t>
      </w:r>
      <w:r>
        <w:rPr>
          <w:rFonts w:ascii="Century Gothic" w:hAnsi="Century Gothic" w:cs="Century Gothic" w:eastAsia="Century Gothic"/>
          <w:b w:val="0"/>
          <w:i w:val="0"/>
          <w:sz w:val="20"/>
        </w:rPr>
        <w:t xml:space="preserve"> garantizar una educación superior de excelencia bajo un enfoque por competencias, integrando teoría y práctica en el diseño, gestión y aseguramiento de información financiera y no financiera para el sector público y privado.</w:t>
      </w:r>
    </w:p>
    <w:p>
      <w:pPr>
        <w:numPr>
          <w:ilvl w:val="0"/>
          <w:numId w:val="902"/>
        </w:numPr>
        <w:spacing w:before="0" w:after="160" w:line="240" w:lineRule="auto"/>
        <w:jc w:val="both"/>
      </w:pPr>
      <w:r>
        <w:rPr>
          <w:rFonts w:ascii="Century Gothic" w:hAnsi="Century Gothic" w:cs="Century Gothic" w:eastAsia="Century Gothic"/>
          <w:b/>
          <w:i w:val="0"/>
          <w:sz w:val="20"/>
        </w:rPr>
        <w:t>Transformación digital e innovación:</w:t>
      </w:r>
      <w:r>
        <w:rPr>
          <w:rFonts w:ascii="Century Gothic" w:hAnsi="Century Gothic" w:cs="Century Gothic" w:eastAsia="Century Gothic"/>
          <w:b w:val="0"/>
          <w:i w:val="0"/>
          <w:sz w:val="20"/>
        </w:rPr>
        <w:t xml:space="preserve"> desarrollar competencias avanzadas en el uso de tecnologías de la información, inteligencia artificial aplicada, analítica de datos masivos y encargos de aseguramiento asistidos por herramientas tecnológicas, para optimizar la toma de decisiones en tiempo real.</w:t>
      </w:r>
    </w:p>
    <w:p>
      <w:pPr>
        <w:numPr>
          <w:ilvl w:val="0"/>
          <w:numId w:val="902"/>
        </w:numPr>
        <w:spacing w:before="0" w:after="160" w:line="240" w:lineRule="auto"/>
        <w:jc w:val="both"/>
      </w:pPr>
      <w:r>
        <w:rPr>
          <w:rFonts w:ascii="Century Gothic" w:hAnsi="Century Gothic" w:cs="Century Gothic" w:eastAsia="Century Gothic"/>
          <w:b/>
          <w:i w:val="0"/>
          <w:sz w:val="20"/>
        </w:rPr>
        <w:t>Ética, responsabilidad pública y gobernanza:</w:t>
      </w:r>
      <w:r>
        <w:rPr>
          <w:rFonts w:ascii="Century Gothic" w:hAnsi="Century Gothic" w:cs="Century Gothic" w:eastAsia="Century Gothic"/>
          <w:b w:val="0"/>
          <w:i w:val="0"/>
          <w:sz w:val="20"/>
        </w:rPr>
        <w:t xml:space="preserve"> inculcar principios éticos rigurosos alineados con el Código Internacional de Ética del Consejo de Normas Internacionales de Ética para Contadores (IESBA), promoviendo la transparencia, la gestión integral de riesgos y el cumplimiento normativo en resguardo del interés público.</w:t>
      </w:r>
    </w:p>
    <w:p>
      <w:pPr>
        <w:numPr>
          <w:ilvl w:val="0"/>
          <w:numId w:val="902"/>
        </w:numPr>
        <w:spacing w:before="0" w:after="160" w:line="240" w:lineRule="auto"/>
        <w:jc w:val="both"/>
      </w:pPr>
      <w:r>
        <w:rPr>
          <w:rFonts w:ascii="Century Gothic" w:hAnsi="Century Gothic" w:cs="Century Gothic" w:eastAsia="Century Gothic"/>
          <w:b/>
          <w:i w:val="0"/>
          <w:sz w:val="20"/>
        </w:rPr>
        <w:t>Investigación y pensamiento crítico:</w:t>
      </w:r>
      <w:r>
        <w:rPr>
          <w:rFonts w:ascii="Century Gothic" w:hAnsi="Century Gothic" w:cs="Century Gothic" w:eastAsia="Century Gothic"/>
          <w:b w:val="0"/>
          <w:i w:val="0"/>
          <w:sz w:val="20"/>
        </w:rPr>
        <w:t xml:space="preserve"> promover la investigación contable, los servicios de aseguramiento y el desarrollo del juicio crítico reflexivo para enfrentar la incertidumbre y resolver problemas organizacionales multidimensionales.</w:t>
      </w:r>
    </w:p>
    <w:p>
      <w:pPr>
        <w:numPr>
          <w:ilvl w:val="0"/>
          <w:numId w:val="902"/>
        </w:numPr>
        <w:spacing w:before="0" w:after="160" w:line="240" w:lineRule="auto"/>
        <w:jc w:val="both"/>
      </w:pPr>
      <w:r>
        <w:rPr>
          <w:rFonts w:ascii="Century Gothic" w:hAnsi="Century Gothic" w:cs="Century Gothic" w:eastAsia="Century Gothic"/>
          <w:b/>
          <w:i w:val="0"/>
          <w:sz w:val="20"/>
        </w:rPr>
        <w:t>Internacionalización y movilidad global:</w:t>
      </w:r>
      <w:r>
        <w:rPr>
          <w:rFonts w:ascii="Century Gothic" w:hAnsi="Century Gothic" w:cs="Century Gothic" w:eastAsia="Century Gothic"/>
          <w:b w:val="0"/>
          <w:i w:val="0"/>
          <w:sz w:val="20"/>
        </w:rPr>
        <w:t xml:space="preserve"> fomentar el dominio del inglés técnico contable y la aplicación de estándares internacionales para potenciar la competitividad global y la transferibilidad académica del profesional.</w:t>
      </w:r>
    </w:p>
    <w:p>
      <w:pPr>
        <w:numPr>
          <w:ilvl w:val="0"/>
          <w:numId w:val="902"/>
        </w:numPr>
        <w:spacing w:before="0" w:after="200" w:line="240" w:lineRule="auto"/>
        <w:jc w:val="both"/>
      </w:pPr>
      <w:r>
        <w:rPr>
          <w:rFonts w:ascii="Century Gothic" w:hAnsi="Century Gothic" w:cs="Century Gothic" w:eastAsia="Century Gothic"/>
          <w:b/>
          <w:i w:val="0"/>
          <w:sz w:val="20"/>
        </w:rPr>
        <w:t>Vinculación práctica e interacción social:</w:t>
      </w:r>
      <w:r>
        <w:rPr>
          <w:rFonts w:ascii="Century Gothic" w:hAnsi="Century Gothic" w:cs="Century Gothic" w:eastAsia="Century Gothic"/>
          <w:b w:val="0"/>
          <w:i w:val="0"/>
          <w:sz w:val="20"/>
        </w:rPr>
        <w:t xml:space="preserve"> fortalecer la formación mediante el aprendizaje basado en proyectos reales, pasantías preprofesionales obligatorias y convenios estratégicos con el sector productivo e institucional.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2.5</w:t>
        <w:tab/>
      </w:r>
      <w:r>
        <w:rPr>
          <w:rFonts w:ascii="Century Gothic" w:hAnsi="Century Gothic" w:cs="Century Gothic" w:eastAsia="Century Gothic"/>
          <w:b/>
          <w:i w:val="0"/>
          <w:sz w:val="24"/>
        </w:rPr>
        <w:t>Características del programa/carrera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2.5.1</w:t>
        <w:tab/>
      </w:r>
      <w:r>
        <w:rPr>
          <w:rFonts w:ascii="Century Gothic" w:hAnsi="Century Gothic" w:cs="Century Gothic" w:eastAsia="Century Gothic"/>
          <w:b/>
          <w:i w:val="0"/>
          <w:sz w:val="22"/>
        </w:rPr>
        <w:t>Reseña histórica</w:t>
      </w:r>
    </w:p>
    <w:p>
      <w:pPr>
        <w:spacing w:before="0" w:after="200" w:line="240" w:lineRule="auto"/>
        <w:jc w:val="both"/>
      </w:pPr>
      <w:r>
        <w:rPr>
          <w:rFonts w:ascii="Century Gothic" w:hAnsi="Century Gothic" w:cs="Century Gothic" w:eastAsia="Century Gothic"/>
          <w:b w:val="0"/>
          <w:i w:val="0"/>
          <w:sz w:val="20"/>
        </w:rPr>
        <w:t>La Carrera de Auditoría tiene su origen en un Congreso Interno realizado en 1970 en la Facultad de Ciencias Económicas y Financieras, en el que se decidió dividir el amplio campo de formación de profesionales en competencias económicas, administrativas y de información financiera en tres áreas especializadas, que serían desarrolladas por las Carreras de Economía, Administración de Empresas y Auditoría.</w:t>
      </w:r>
    </w:p>
    <w:p>
      <w:pPr>
        <w:spacing w:before="0" w:after="200" w:line="240" w:lineRule="auto"/>
        <w:jc w:val="both"/>
      </w:pPr>
      <w:r>
        <w:rPr>
          <w:rFonts w:ascii="Century Gothic" w:hAnsi="Century Gothic" w:cs="Century Gothic" w:eastAsia="Century Gothic"/>
          <w:b w:val="0"/>
          <w:i w:val="0"/>
          <w:sz w:val="20"/>
        </w:rPr>
        <w:t>La Carrera de Auditoría fue fundada el 25 de agosto de 1970 e inició sus actividades académicas en la gestión 1971, como unidad dependiente de la Facultad de Ciencias Económicas y Financieras. El proyecto fue preparado por docentes con la participación de estudiantes de esa gestión y respondió a la necesidad de especialización en auditoría, ya que la Facultad contaba entonces con las Carreras de Administración de Empresas, Economía y Estadística.</w:t>
      </w:r>
    </w:p>
    <w:p>
      <w:pPr>
        <w:spacing w:before="0" w:after="200" w:line="240" w:lineRule="auto"/>
        <w:jc w:val="both"/>
      </w:pPr>
      <w:r>
        <w:rPr>
          <w:rFonts w:ascii="Century Gothic" w:hAnsi="Century Gothic" w:cs="Century Gothic" w:eastAsia="Century Gothic"/>
          <w:b w:val="0"/>
          <w:i w:val="0"/>
          <w:sz w:val="20"/>
        </w:rPr>
        <w:t>La insurgencia estudiantil de abril de 1970, conocida como la Revolución Universitaria, rompió con las estructuras existentes y desconoció el antiguo Estatuto Orgánico Universitario, lo que permitió redefinir el papel de la Universidad y de la propia Carrera de Auditoría. Este proceso de cambio se interrumpió con el golpe de Estado del general Hugo Banzer Suárez en agosto de 1971 y la consiguiente intervención del sistema universitario, que se prolongó hasta 1978.</w:t>
      </w:r>
    </w:p>
    <w:p>
      <w:pPr>
        <w:spacing w:before="0" w:after="200" w:line="240" w:lineRule="auto"/>
        <w:jc w:val="both"/>
      </w:pPr>
      <w:r>
        <w:rPr>
          <w:rFonts w:ascii="Century Gothic" w:hAnsi="Century Gothic" w:cs="Century Gothic" w:eastAsia="Century Gothic"/>
          <w:b w:val="0"/>
          <w:i w:val="0"/>
          <w:sz w:val="20"/>
        </w:rPr>
        <w:t>En cumplimiento de disposiciones universitarias superiores, la Carrera de Auditoría adoptó la denominación de Carrera de Contaduría Pública, aprobada mediante Resolución del Honorable Consejo Universitario N.º 438/2012, de 12 de septiembre de 2012, conforme se detalla en el punto 1.2.</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2.5.2</w:t>
        <w:tab/>
      </w:r>
      <w:r>
        <w:rPr>
          <w:rFonts w:ascii="Century Gothic" w:hAnsi="Century Gothic" w:cs="Century Gothic" w:eastAsia="Century Gothic"/>
          <w:b/>
          <w:i w:val="0"/>
          <w:sz w:val="22"/>
        </w:rPr>
        <w:t>Unidades dependientes</w:t>
      </w:r>
    </w:p>
    <w:p>
      <w:pPr>
        <w:keepNext/>
        <w:spacing w:before="40" w:after="200" w:line="240" w:lineRule="auto"/>
        <w:jc w:val="left"/>
      </w:pPr>
      <w:r>
        <w:rPr>
          <w:rFonts w:ascii="Century Gothic" w:hAnsi="Century Gothic" w:cs="Century Gothic" w:eastAsia="Century Gothic"/>
          <w:b/>
          <w:i w:val="0"/>
          <w:sz w:val="22"/>
        </w:rPr>
        <w:t>Instituto de Investigaciones de Ciencias Contables, Financieras y Auditoría</w:t>
      </w:r>
    </w:p>
    <w:p>
      <w:pPr>
        <w:spacing w:before="0" w:after="200" w:line="240" w:lineRule="auto"/>
        <w:jc w:val="both"/>
      </w:pPr>
      <w:r>
        <w:rPr>
          <w:rFonts w:ascii="Century Gothic" w:hAnsi="Century Gothic" w:cs="Century Gothic" w:eastAsia="Century Gothic"/>
          <w:b w:val="0"/>
          <w:i w:val="0"/>
          <w:sz w:val="20"/>
        </w:rPr>
        <w:t>Mediante Resolución de Consejo de Carrera N.º 018/2003, la entonces Carrera de Auditoría aprobó el proyecto de creación del Instituto de Investigaciones de Ciencias Contables, Económicas y Financieras, homologado por la Resolución del Honorable Consejo Facultativo N.º 373/2004. El proyecto se consolidó con la Resolución del Honorable Consejo Universitario N.º 457/2004, de 6 de octubre de 2004, que aprueba la creación del Instituto de Investigaciones de Ciencias Contables, Financieras y Auditoría.</w:t>
      </w:r>
    </w:p>
    <w:p>
      <w:pPr>
        <w:keepNext/>
        <w:spacing w:before="40" w:after="200" w:line="240" w:lineRule="auto"/>
        <w:jc w:val="left"/>
      </w:pPr>
      <w:r>
        <w:rPr>
          <w:rFonts w:ascii="Century Gothic" w:hAnsi="Century Gothic" w:cs="Century Gothic" w:eastAsia="Century Gothic"/>
          <w:b/>
          <w:i w:val="0"/>
          <w:sz w:val="22"/>
        </w:rPr>
        <w:t>Unidad de Postgrado</w:t>
      </w:r>
    </w:p>
    <w:p>
      <w:pPr>
        <w:spacing w:before="0" w:after="200" w:line="240" w:lineRule="auto"/>
        <w:jc w:val="both"/>
      </w:pPr>
      <w:r>
        <w:rPr>
          <w:rFonts w:ascii="Century Gothic" w:hAnsi="Century Gothic" w:cs="Century Gothic" w:eastAsia="Century Gothic"/>
          <w:b w:val="0"/>
          <w:i w:val="0"/>
          <w:sz w:val="20"/>
        </w:rPr>
        <w:t>Mediante Resolución del Honorable Consejo de Carrera N.º 066/1995, la Carrera de Auditoría conformó la comisión de docentes encargada de elaborar el proyecto del primer curso de maestría en Auditoría y Control, homologada por la Resolución del Honorable Consejo Facultativo N.º 001/1996. La Maestría en Auditoría y Control Financiero fue creada mediante Resolución del Honorable Consejo Universitario N.º 109/1998, de 3 de junio de 1998.</w:t>
      </w:r>
    </w:p>
    <w:p>
      <w:pPr>
        <w:spacing w:before="0" w:after="200" w:line="240" w:lineRule="auto"/>
        <w:jc w:val="both"/>
      </w:pPr>
      <w:r>
        <w:rPr>
          <w:rFonts w:ascii="Century Gothic" w:hAnsi="Century Gothic" w:cs="Century Gothic" w:eastAsia="Century Gothic"/>
          <w:b w:val="0"/>
          <w:i w:val="0"/>
          <w:sz w:val="20"/>
        </w:rPr>
        <w:t>Los programas de postgrado ejecutados y en ejecución son los siguientes:</w:t>
      </w:r>
    </w:p>
    <w:tbl>
      <w:tblPr>
        <w:tblW w:type="auto" w:w="0"/>
        <w:jc w:val="center"/>
        <w:tblLayout w:type="fixed"/>
        <w:tblLook w:firstColumn="1" w:firstRow="1" w:lastColumn="0" w:lastRow="0" w:noHBand="0" w:noVBand="1" w:val="04A0"/>
      </w:tblPr>
      <w:tblGrid>
        <w:gridCol w:w="6236"/>
        <w:gridCol w:w="2835"/>
      </w:tblGrid>
      <w:tr>
        <w:trPr>
          <w:tblHeader/>
        </w:trPr>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Programa</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Versión</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Maestría en Auditoría y Control Financiero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XXII</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Maestría en Auditoría Gubernamental y Control de Gestión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III</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Maestría en Tributación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Diplomado en Tributación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XVI</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Diplomado en Auditoría Forense</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II</w:t>
            </w:r>
          </w:p>
        </w:tc>
      </w:tr>
      <w:tr>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Diplomado en Control Interno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II</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El programa de doctorado se encuentra en trámite de creación.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2.6</w:t>
        <w:tab/>
      </w:r>
      <w:r>
        <w:rPr>
          <w:rFonts w:ascii="Century Gothic" w:hAnsi="Century Gothic" w:cs="Century Gothic" w:eastAsia="Century Gothic"/>
          <w:b/>
          <w:i w:val="0"/>
          <w:sz w:val="24"/>
        </w:rPr>
        <w:t>Organigrama del programa/carrera</w:t>
      </w:r>
    </w:p>
    <w:p>
      <w:pPr>
        <w:spacing w:before="40" w:after="80" w:line="240" w:lineRule="auto"/>
        <w:jc w:val="center"/>
      </w:pPr>
      <w:r>
        <w:drawing>
          <wp:inline xmlns:a="http://schemas.openxmlformats.org/drawingml/2006/main" xmlns:pic="http://schemas.openxmlformats.org/drawingml/2006/picture">
            <wp:extent cx="5580000" cy="4853978"/>
            <wp:docPr id="1" name="Picture 1"/>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580000" cy="4853978"/>
                    </a:xfrm>
                    <a:prstGeom prst="rect"/>
                  </pic:spPr>
                </pic:pic>
              </a:graphicData>
            </a:graphic>
          </wp:inline>
        </w:drawing>
      </w:r>
    </w:p>
    <w:p>
      <w:pPr>
        <w:spacing w:before="0" w:after="200" w:line="240" w:lineRule="auto"/>
        <w:jc w:val="center"/>
      </w:pPr>
      <w:r>
        <w:rPr>
          <w:rFonts w:ascii="Century Gothic" w:hAnsi="Century Gothic" w:cs="Century Gothic" w:eastAsia="Century Gothic"/>
          <w:b w:val="0"/>
          <w:i w:val="0"/>
          <w:sz w:val="18"/>
        </w:rPr>
        <w:t>Organigrama de la Carrera de Contaduría Pública. Fuente: Dirección de Carrera de Contaduría Pública.</w:t>
      </w:r>
    </w:p>
    <w:p>
      <w:pPr>
        <w:spacing w:before="0" w:after="200" w:line="240" w:lineRule="auto"/>
        <w:jc w:val="both"/>
      </w:pPr>
      <w:r>
        <w:rPr>
          <w:rFonts w:ascii="Century Gothic" w:hAnsi="Century Gothic" w:cs="Century Gothic" w:eastAsia="Century Gothic"/>
          <w:b w:val="0"/>
          <w:i w:val="0"/>
          <w:sz w:val="20"/>
        </w:rPr>
        <w:t>La estructura organizativa de la Carrera comprende instancias de dirección, mandos intermedios e instancias académico administrativas, enmarcadas en el principio de cogobierno que establecen las normas generales del sistema universitario público del país y las normas específicas de la Universidad Mayor de San Andrés. En el nivel de dirección, donde se toman las decisiones de mayor jerarquía, se encuentran la Asamblea General Docente Estudiantil y el Honorable Consejo de Carrera.</w:t>
      </w:r>
    </w:p>
    <w:p>
      <w:pPr>
        <w:numPr>
          <w:ilvl w:val="0"/>
          <w:numId w:val="903"/>
        </w:numPr>
        <w:spacing w:before="0" w:after="160" w:line="240" w:lineRule="auto"/>
        <w:jc w:val="both"/>
      </w:pPr>
      <w:r>
        <w:rPr>
          <w:rFonts w:ascii="Century Gothic" w:hAnsi="Century Gothic" w:cs="Century Gothic" w:eastAsia="Century Gothic"/>
          <w:b/>
          <w:i w:val="0"/>
          <w:sz w:val="20"/>
        </w:rPr>
        <w:t>Asamblea General Docente Estudiantil.</w:t>
      </w:r>
      <w:r>
        <w:rPr>
          <w:rFonts w:ascii="Century Gothic" w:hAnsi="Century Gothic" w:cs="Century Gothic" w:eastAsia="Century Gothic"/>
          <w:b w:val="0"/>
          <w:i w:val="0"/>
          <w:sz w:val="20"/>
        </w:rPr>
        <w:t xml:space="preserve"> Es convocada por el Honorable Consejo de Carrera mediante mecanismos que garantizan la máxima representatividad de todos sus niveles y componentes. Tiene la función de comunicar a docentes y estudiantes los aspectos centrales de la vida académica, presupuestaria y administrativa para su análisis, y la facultad de tratar y decidir sobre situaciones o problemas académicos, económicos, administrativos y de otra naturaleza.</w:t>
      </w:r>
    </w:p>
    <w:p>
      <w:pPr>
        <w:numPr>
          <w:ilvl w:val="0"/>
          <w:numId w:val="903"/>
        </w:numPr>
        <w:spacing w:before="0" w:after="160" w:line="240" w:lineRule="auto"/>
        <w:jc w:val="both"/>
      </w:pPr>
      <w:r>
        <w:rPr>
          <w:rFonts w:ascii="Century Gothic" w:hAnsi="Century Gothic" w:cs="Century Gothic" w:eastAsia="Century Gothic"/>
          <w:b/>
          <w:i w:val="0"/>
          <w:sz w:val="20"/>
        </w:rPr>
        <w:t>Honorable Consejo de Carrera.</w:t>
      </w:r>
      <w:r>
        <w:rPr>
          <w:rFonts w:ascii="Century Gothic" w:hAnsi="Century Gothic" w:cs="Century Gothic" w:eastAsia="Century Gothic"/>
          <w:b w:val="0"/>
          <w:i w:val="0"/>
          <w:sz w:val="20"/>
        </w:rPr>
        <w:t xml:space="preserve"> Está conformado por el Director o la Directora de Carrera y por la representación paritaria de delegados docentes y estudiantiles, elegidos democráticamente, con derecho a voz y voto. Sus atribuciones están definidas en el Artículo 3 del Reglamento Interno aprobado por Resolución del Honorable Consejo Universitario N.º 138/89, que le confiere la potestad de tratar y decidir sobre la política institucional, el desarrollo académico, económico y administrativo y los problemas relacionados, en el marco de la norma universitaria. Puede conformar comisiones, como las de evaluación de concursos de méritos y exámenes de competencia para docentes y auxiliares de docencia. Funciona en cogobierno, como órgano de decisión paritaria docente estudiantil.</w:t>
      </w:r>
    </w:p>
    <w:p>
      <w:pPr>
        <w:numPr>
          <w:ilvl w:val="0"/>
          <w:numId w:val="903"/>
        </w:numPr>
        <w:spacing w:before="0" w:after="160" w:line="240" w:lineRule="auto"/>
        <w:jc w:val="both"/>
      </w:pPr>
      <w:r>
        <w:rPr>
          <w:rFonts w:ascii="Century Gothic" w:hAnsi="Century Gothic" w:cs="Century Gothic" w:eastAsia="Century Gothic"/>
          <w:b/>
          <w:i w:val="0"/>
          <w:sz w:val="20"/>
        </w:rPr>
        <w:t>Comisión de Convalidaciones y Académica.</w:t>
      </w:r>
      <w:r>
        <w:rPr>
          <w:rFonts w:ascii="Century Gothic" w:hAnsi="Century Gothic" w:cs="Century Gothic" w:eastAsia="Century Gothic"/>
          <w:b w:val="0"/>
          <w:i w:val="0"/>
          <w:sz w:val="20"/>
        </w:rPr>
        <w:t xml:space="preserve"> Es designada por el Director de Carrera entre los docentes titulares del área de Auditoría o Contaduría Pública y cumple las funciones que establecen las normas universitarias para la revisión de los documentos académicos de los estudiantes.</w:t>
      </w:r>
    </w:p>
    <w:p>
      <w:pPr>
        <w:numPr>
          <w:ilvl w:val="0"/>
          <w:numId w:val="903"/>
        </w:numPr>
        <w:spacing w:before="0" w:after="160" w:line="240" w:lineRule="auto"/>
        <w:jc w:val="both"/>
      </w:pPr>
      <w:r>
        <w:rPr>
          <w:rFonts w:ascii="Century Gothic" w:hAnsi="Century Gothic" w:cs="Century Gothic" w:eastAsia="Century Gothic"/>
          <w:b/>
          <w:i w:val="0"/>
          <w:sz w:val="20"/>
        </w:rPr>
        <w:t>Tribunal de Graduación por Excelencia Académica.</w:t>
      </w:r>
      <w:r>
        <w:rPr>
          <w:rFonts w:ascii="Century Gothic" w:hAnsi="Century Gothic" w:cs="Century Gothic" w:eastAsia="Century Gothic"/>
          <w:b w:val="0"/>
          <w:i w:val="0"/>
          <w:sz w:val="20"/>
        </w:rPr>
        <w:t xml:space="preserve"> Es designado por el Director de Carrera entre los docentes titulares del área de Auditoría o Contaduría Pública y cumple las funciones que señala el Reglamento de Graduación por Excelencia Académica de la Universidad.</w:t>
      </w:r>
    </w:p>
    <w:p>
      <w:pPr>
        <w:numPr>
          <w:ilvl w:val="0"/>
          <w:numId w:val="903"/>
        </w:numPr>
        <w:spacing w:before="0" w:after="160" w:line="240" w:lineRule="auto"/>
        <w:jc w:val="both"/>
      </w:pPr>
      <w:r>
        <w:rPr>
          <w:rFonts w:ascii="Century Gothic" w:hAnsi="Century Gothic" w:cs="Century Gothic" w:eastAsia="Century Gothic"/>
          <w:b/>
          <w:i w:val="0"/>
          <w:sz w:val="20"/>
        </w:rPr>
        <w:t>Dirección de Carrera.</w:t>
      </w:r>
      <w:r>
        <w:rPr>
          <w:rFonts w:ascii="Century Gothic" w:hAnsi="Century Gothic" w:cs="Century Gothic" w:eastAsia="Century Gothic"/>
          <w:b w:val="0"/>
          <w:i w:val="0"/>
          <w:sz w:val="20"/>
        </w:rPr>
        <w:t xml:space="preserve"> Es el órgano de dirección funcional y de toma de decisiones. Su elección, competencias y atribuciones emanan de las normas del sistema universitario público y de la Universidad Mayor de San Andrés. Le corresponde la representación técnica, administrativa y legal de la Carrera; la planificación, dirección, coordinación y supervisión de las actividades académicas, técnico administrativas y económicas; la gestión de las políticas y objetivos institucionales; la formulación de normas internas para mejorar los procedimientos; el cumplimiento de las metas programadas en docencia, investigación e interacción social, y la conducción del Honorable Consejo de Carrera, además de la representación de la Carrera ante otras instancias universitarias.</w:t>
      </w:r>
    </w:p>
    <w:p>
      <w:pPr>
        <w:numPr>
          <w:ilvl w:val="0"/>
          <w:numId w:val="903"/>
        </w:numPr>
        <w:spacing w:before="0" w:after="160" w:line="240" w:lineRule="auto"/>
        <w:jc w:val="both"/>
      </w:pPr>
      <w:r>
        <w:rPr>
          <w:rFonts w:ascii="Century Gothic" w:hAnsi="Century Gothic" w:cs="Century Gothic" w:eastAsia="Century Gothic"/>
          <w:b/>
          <w:i w:val="0"/>
          <w:sz w:val="20"/>
        </w:rPr>
        <w:t>Instituto de Investigaciones de Ciencias Contables, Financieras y Auditoría.</w:t>
      </w:r>
      <w:r>
        <w:rPr>
          <w:rFonts w:ascii="Century Gothic" w:hAnsi="Century Gothic" w:cs="Century Gothic" w:eastAsia="Century Gothic"/>
          <w:b w:val="0"/>
          <w:i w:val="0"/>
          <w:sz w:val="20"/>
        </w:rPr>
        <w:t xml:space="preserve"> Es una unidad científica académica cuyas funciones y atribuciones emergen del Reglamento General de Institutos de Investigación de la Universidad y de su reglamento interno. Tiene autonomía de funcionamiento, aunque depende administrativamente de la Carrera, en cuya estructura se ubica en el nivel de mando intermedio.</w:t>
      </w:r>
    </w:p>
    <w:p>
      <w:pPr>
        <w:numPr>
          <w:ilvl w:val="0"/>
          <w:numId w:val="903"/>
        </w:numPr>
        <w:spacing w:before="0" w:after="160" w:line="240" w:lineRule="auto"/>
        <w:jc w:val="both"/>
      </w:pPr>
      <w:r>
        <w:rPr>
          <w:rFonts w:ascii="Century Gothic" w:hAnsi="Century Gothic" w:cs="Century Gothic" w:eastAsia="Century Gothic"/>
          <w:b/>
          <w:i w:val="0"/>
          <w:sz w:val="20"/>
        </w:rPr>
        <w:t>Unidad de Postgrado.</w:t>
      </w:r>
      <w:r>
        <w:rPr>
          <w:rFonts w:ascii="Century Gothic" w:hAnsi="Century Gothic" w:cs="Century Gothic" w:eastAsia="Century Gothic"/>
          <w:b w:val="0"/>
          <w:i w:val="0"/>
          <w:sz w:val="20"/>
        </w:rPr>
        <w:t xml:space="preserve"> Depende del Instituto y ofrece programas de maestría, diplomados y cursos de actualización. Está a cargo de un coordinador y cuenta con las áreas de Información, encargada de los archivos y la documentación académica; Académica, encargada del desarrollo de los programas; Programas Virtuales, encargada del soporte informático; Gestión Financiera, encargada de compras y pagos de servicios, y con apoyo administrativo para la recepción y distribución de documentos y la atención al público.</w:t>
      </w:r>
    </w:p>
    <w:p>
      <w:pPr>
        <w:numPr>
          <w:ilvl w:val="0"/>
          <w:numId w:val="903"/>
        </w:numPr>
        <w:spacing w:before="0" w:after="160" w:line="240" w:lineRule="auto"/>
        <w:jc w:val="both"/>
      </w:pPr>
      <w:r>
        <w:rPr>
          <w:rFonts w:ascii="Century Gothic" w:hAnsi="Century Gothic" w:cs="Century Gothic" w:eastAsia="Century Gothic"/>
          <w:b/>
          <w:i w:val="0"/>
          <w:sz w:val="20"/>
        </w:rPr>
        <w:t>Personal de apoyo a la Dirección.</w:t>
      </w:r>
      <w:r>
        <w:rPr>
          <w:rFonts w:ascii="Century Gothic" w:hAnsi="Century Gothic" w:cs="Century Gothic" w:eastAsia="Century Gothic"/>
          <w:b w:val="0"/>
          <w:i w:val="0"/>
          <w:sz w:val="20"/>
        </w:rPr>
        <w:t xml:space="preserve"> Se encarga de la clasificación y distribución de la documentación que ingresa a la Dirección, la transcripción de planillas e informes, la atención de los requerimientos de los usuarios, la administración del archivo, el seguimiento de expedientes, el control de bienes de oficinas y aulas, la coordinación con otras dependencias de la Universidad, la organización de reuniones del Director, el control de la correspondencia, la atención telefónica y la elaboración de citaciones. También realiza labores de mensajería, limpieza de aulas y portería.</w:t>
      </w:r>
    </w:p>
    <w:p>
      <w:pPr>
        <w:numPr>
          <w:ilvl w:val="0"/>
          <w:numId w:val="903"/>
        </w:numPr>
        <w:spacing w:before="0" w:after="160" w:line="240" w:lineRule="auto"/>
        <w:jc w:val="both"/>
      </w:pPr>
      <w:r>
        <w:rPr>
          <w:rFonts w:ascii="Century Gothic" w:hAnsi="Century Gothic" w:cs="Century Gothic" w:eastAsia="Century Gothic"/>
          <w:b/>
          <w:i w:val="0"/>
          <w:sz w:val="20"/>
        </w:rPr>
        <w:t>Unidad de Kárdex.</w:t>
      </w:r>
      <w:r>
        <w:rPr>
          <w:rFonts w:ascii="Century Gothic" w:hAnsi="Century Gothic" w:cs="Century Gothic" w:eastAsia="Century Gothic"/>
          <w:b w:val="0"/>
          <w:i w:val="0"/>
          <w:sz w:val="20"/>
        </w:rPr>
        <w:t xml:space="preserve"> Realiza el proceso de administración académica, que comprende el registro académico, el seguimiento y la emisión de certificados de notas y de egreso, el manejo de actas de notas y la información estadística.</w:t>
      </w:r>
    </w:p>
    <w:p>
      <w:pPr>
        <w:numPr>
          <w:ilvl w:val="0"/>
          <w:numId w:val="903"/>
        </w:numPr>
        <w:spacing w:before="0" w:after="200" w:line="240" w:lineRule="auto"/>
        <w:jc w:val="both"/>
      </w:pPr>
      <w:r>
        <w:rPr>
          <w:rFonts w:ascii="Century Gothic" w:hAnsi="Century Gothic" w:cs="Century Gothic" w:eastAsia="Century Gothic"/>
          <w:b/>
          <w:i w:val="0"/>
          <w:sz w:val="20"/>
        </w:rPr>
        <w:t>Biblioteca Especializada.</w:t>
      </w:r>
      <w:r>
        <w:rPr>
          <w:rFonts w:ascii="Century Gothic" w:hAnsi="Century Gothic" w:cs="Century Gothic" w:eastAsia="Century Gothic"/>
          <w:b w:val="0"/>
          <w:i w:val="0"/>
          <w:sz w:val="20"/>
        </w:rPr>
        <w:t xml:space="preserve"> Es un espacio de lectura que permite a los estudiantes complementar el avance académico de cada asignatura. Es atendida por dos bibliotecarios en dos turnos.</w:t>
      </w:r>
    </w:p>
    <w:p>
      <w:pPr>
        <w:spacing w:before="0" w:after="200" w:line="240" w:lineRule="auto"/>
        <w:jc w:val="both"/>
      </w:pPr>
      <w:r>
        <w:rPr>
          <w:rFonts w:ascii="Century Gothic" w:hAnsi="Century Gothic" w:cs="Century Gothic" w:eastAsia="Century Gothic"/>
          <w:b w:val="0"/>
          <w:i w:val="0"/>
          <w:sz w:val="20"/>
        </w:rPr>
        <w:t>Las funciones del personal administrativo de planta se encuentran consignadas en el Manual de Funciones de la Universidad, y las del personal a contrato, en los términos de referencia de los contratos suscritos.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2.6.1</w:t>
        <w:tab/>
      </w:r>
      <w:r>
        <w:rPr>
          <w:rFonts w:ascii="Century Gothic" w:hAnsi="Century Gothic" w:cs="Century Gothic" w:eastAsia="Century Gothic"/>
          <w:b/>
          <w:i w:val="0"/>
          <w:sz w:val="22"/>
        </w:rPr>
        <w:t>Plantel administrativo de la Carrera</w:t>
      </w:r>
    </w:p>
    <w:p>
      <w:pPr>
        <w:spacing w:before="0" w:after="200" w:line="240" w:lineRule="auto"/>
        <w:jc w:val="both"/>
      </w:pPr>
      <w:r>
        <w:rPr>
          <w:rFonts w:ascii="Century Gothic" w:hAnsi="Century Gothic" w:cs="Century Gothic" w:eastAsia="Century Gothic"/>
          <w:b w:val="0"/>
          <w:i w:val="0"/>
          <w:sz w:val="20"/>
        </w:rPr>
        <w:t>Para cumplir sus funciones de formación académica, investigación, interacción social y gestión administrativa, la Carrera cuenta con personal distribuido en sus unidades organizacionales. Este personal constituye el soporte de gestión sobre el que se implementará el nuevo plan de estudios.</w:t>
      </w:r>
    </w:p>
    <w:p>
      <w:pPr>
        <w:keepNext/>
        <w:spacing w:before="40" w:after="80" w:line="240" w:lineRule="auto"/>
        <w:jc w:val="center"/>
      </w:pPr>
      <w:r>
        <w:rPr>
          <w:rFonts w:ascii="Century Gothic" w:hAnsi="Century Gothic" w:cs="Century Gothic" w:eastAsia="Century Gothic"/>
          <w:b/>
          <w:i w:val="0"/>
          <w:sz w:val="20"/>
        </w:rPr>
        <w:t>Cuadro 1. Personal administrativo de planta</w:t>
      </w:r>
    </w:p>
    <w:tbl>
      <w:tblPr>
        <w:tblW w:type="auto" w:w="0"/>
        <w:jc w:val="center"/>
        <w:tblLayout w:type="fixed"/>
        <w:tblLook w:firstColumn="1" w:firstRow="1" w:lastColumn="0" w:lastRow="0" w:noHBand="0" w:noVBand="1" w:val="04A0"/>
      </w:tblPr>
      <w:tblGrid>
        <w:gridCol w:w="1417"/>
        <w:gridCol w:w="3969"/>
        <w:gridCol w:w="3685"/>
      </w:tblGrid>
      <w:tr>
        <w:trPr>
          <w:tblHeader/>
        </w:trPr>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Cantidad</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Cargo</w:t>
            </w:r>
          </w:p>
        </w:tc>
        <w:tc>
          <w:tcPr>
            <w:tcW w:type="dxa" w:w="36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Unidad</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Secretaria Ejecutiva</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Auxiliar de Oficina</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Portero I</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Encargada de Kárdex</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Kárdex Académico</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Kardexista I</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Kárdex Académico</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Operador de Computación</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Centro de Cómputo</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Transcriptor</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Centro de Cómputo</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Bibliotecario</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Biblioteca de la Carrera</w:t>
            </w:r>
          </w:p>
        </w:tc>
      </w:tr>
      <w:tr>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40" w:after="200" w:line="240" w:lineRule="auto"/>
        <w:jc w:val="left"/>
      </w:pPr>
      <w:r>
        <w:rPr>
          <w:rFonts w:ascii="Century Gothic" w:hAnsi="Century Gothic" w:cs="Century Gothic" w:eastAsia="Century Gothic"/>
          <w:b w:val="0"/>
          <w:i w:val="0"/>
          <w:sz w:val="16"/>
        </w:rPr>
        <w:t>Fuente: Diagnóstico de la Carrera de Contaduría Pública, 2026.</w:t>
      </w:r>
    </w:p>
    <w:p>
      <w:pPr>
        <w:keepNext/>
        <w:spacing w:before="40" w:after="80" w:line="240" w:lineRule="auto"/>
        <w:jc w:val="center"/>
      </w:pPr>
      <w:r>
        <w:rPr>
          <w:rFonts w:ascii="Century Gothic" w:hAnsi="Century Gothic" w:cs="Century Gothic" w:eastAsia="Century Gothic"/>
          <w:b/>
          <w:i w:val="0"/>
          <w:sz w:val="20"/>
        </w:rPr>
        <w:t>Cuadro 2. Personal administrativo a contrato</w:t>
      </w:r>
    </w:p>
    <w:tbl>
      <w:tblPr>
        <w:tblW w:type="auto" w:w="0"/>
        <w:jc w:val="center"/>
        <w:tblLayout w:type="fixed"/>
        <w:tblLook w:firstColumn="1" w:firstRow="1" w:lastColumn="0" w:lastRow="0" w:noHBand="0" w:noVBand="1" w:val="04A0"/>
      </w:tblPr>
      <w:tblGrid>
        <w:gridCol w:w="1134"/>
        <w:gridCol w:w="3118"/>
        <w:gridCol w:w="2154"/>
        <w:gridCol w:w="2665"/>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Cantidad</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Unidad</w:t>
            </w:r>
          </w:p>
        </w:tc>
        <w:tc>
          <w:tcPr>
            <w:tcW w:type="dxa" w:w="26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Modalidad</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 Secretaria Académica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 en Gestión Financiera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 en Mensajería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Dirección de Carrera</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Operador de Archivo I</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Kárdex Académico</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II en Sistemas</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Kárdex Académico</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 en Servicios</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Edificio Nava Morales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 en Servicios</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Edificio Nava Morales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 DAF UMSA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Portero I</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Edificio Nava Morales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Personal eventual, Recursos Humanos</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Becario</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Edificio Nava Morales</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 trabajo</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Becario</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Monoblock Central</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 trabajo</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Becario de trabajo dirigido</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Monoblock Central</w:t>
            </w: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Beca trabajo</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13</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6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40" w:after="200" w:line="240" w:lineRule="auto"/>
        <w:jc w:val="left"/>
      </w:pPr>
      <w:r>
        <w:rPr>
          <w:rFonts w:ascii="Century Gothic" w:hAnsi="Century Gothic" w:cs="Century Gothic" w:eastAsia="Century Gothic"/>
          <w:b w:val="0"/>
          <w:i w:val="0"/>
          <w:sz w:val="16"/>
        </w:rPr>
        <w:t>Fuente: Diagnóstico de la Carrera de Contaduría Pública, 2026.</w:t>
      </w:r>
    </w:p>
    <w:p>
      <w:pPr>
        <w:spacing w:before="0" w:after="200" w:line="240" w:lineRule="auto"/>
        <w:jc w:val="both"/>
      </w:pPr>
      <w:r>
        <w:rPr>
          <w:rFonts w:ascii="Century Gothic" w:hAnsi="Century Gothic" w:cs="Century Gothic" w:eastAsia="Century Gothic"/>
          <w:b w:val="0"/>
          <w:i w:val="0"/>
          <w:sz w:val="20"/>
        </w:rPr>
        <w:t xml:space="preserve">La Carrera desarrolla sus actividades académicas, administrativas y de atención a la comunidad universitaria con </w:t>
      </w:r>
      <w:r>
        <w:rPr>
          <w:rFonts w:ascii="Century Gothic" w:hAnsi="Century Gothic" w:cs="Century Gothic" w:eastAsia="Century Gothic"/>
          <w:b/>
          <w:i w:val="0"/>
          <w:sz w:val="20"/>
        </w:rPr>
        <w:t>23 servidores administrativos</w:t>
      </w:r>
      <w:r>
        <w:rPr>
          <w:rFonts w:ascii="Century Gothic" w:hAnsi="Century Gothic" w:cs="Century Gothic" w:eastAsia="Century Gothic"/>
          <w:b w:val="0"/>
          <w:i w:val="0"/>
          <w:sz w:val="20"/>
        </w:rPr>
        <w:t xml:space="preserve">: </w:t>
      </w:r>
      <w:r>
        <w:rPr>
          <w:rFonts w:ascii="Century Gothic" w:hAnsi="Century Gothic" w:cs="Century Gothic" w:eastAsia="Century Gothic"/>
          <w:b/>
          <w:i w:val="0"/>
          <w:sz w:val="20"/>
        </w:rPr>
        <w:t>10 de planta</w:t>
      </w:r>
      <w:r>
        <w:rPr>
          <w:rFonts w:ascii="Century Gothic" w:hAnsi="Century Gothic" w:cs="Century Gothic" w:eastAsia="Century Gothic"/>
          <w:b w:val="0"/>
          <w:i w:val="0"/>
          <w:sz w:val="20"/>
        </w:rPr>
        <w:t xml:space="preserve">, que representan el 43,48 %, y </w:t>
      </w:r>
      <w:r>
        <w:rPr>
          <w:rFonts w:ascii="Century Gothic" w:hAnsi="Century Gothic" w:cs="Century Gothic" w:eastAsia="Century Gothic"/>
          <w:b/>
          <w:i w:val="0"/>
          <w:sz w:val="20"/>
        </w:rPr>
        <w:t>13 contratados</w:t>
      </w:r>
      <w:r>
        <w:rPr>
          <w:rFonts w:ascii="Century Gothic" w:hAnsi="Century Gothic" w:cs="Century Gothic" w:eastAsia="Century Gothic"/>
          <w:b w:val="0"/>
          <w:i w:val="0"/>
          <w:sz w:val="20"/>
        </w:rPr>
        <w:t>, que representan el 56,52 %, bajo las modalidades de consultoría en línea, personal eventual y beca trabajo.</w:t>
      </w:r>
    </w:p>
    <w:p>
      <w:pPr>
        <w:spacing w:before="0" w:after="200" w:line="240" w:lineRule="auto"/>
        <w:jc w:val="both"/>
      </w:pPr>
      <w:r>
        <w:rPr>
          <w:rFonts w:ascii="Century Gothic" w:hAnsi="Century Gothic" w:cs="Century Gothic" w:eastAsia="Century Gothic"/>
          <w:b w:val="0"/>
          <w:i w:val="0"/>
          <w:sz w:val="20"/>
        </w:rPr>
        <w:t>La mayor parte del personal es contratado y se financia con recursos propios de la Carrera, porque los ítems de planta asignados por la Universidad son insuficientes. El personal de planta garantiza el funcionamiento básico de la Dirección de Carrera, el Kárdex Académico, el Centro de Cómputo y la Biblioteca, pero la demanda de servicios ha hecho indispensable contratar personal adicional, sobre todo en la Dirección y en el Kárdex Académico, además del apoyo del programa de becas trabajo.</w:t>
      </w:r>
    </w:p>
    <w:p>
      <w:pPr>
        <w:spacing w:before="0" w:after="200" w:line="240" w:lineRule="auto"/>
        <w:jc w:val="both"/>
      </w:pPr>
      <w:r>
        <w:rPr>
          <w:rFonts w:ascii="Century Gothic" w:hAnsi="Century Gothic" w:cs="Century Gothic" w:eastAsia="Century Gothic"/>
          <w:b w:val="0"/>
          <w:i w:val="0"/>
          <w:sz w:val="20"/>
        </w:rPr>
        <w:t>Esta situación se explica porque la Carrera es una de las unidades académicas con mayor población estudiantil de la Universidad, con una elevada demanda de trámites, atención al estudiante, procesos administrativos y apoyo a la investigación, la interacción social y los programas de pregrado y postgrado. Por ello es necesario fortalecer la estructura administrativa con la creación y asignación de nuevos ítems de planta, de manera que la sostenibilidad institucional no dependa de contrataciones financiadas con recursos propios.</w:t>
      </w:r>
    </w:p>
    <w:p>
      <w:pPr>
        <w:keepNext/>
        <w:spacing w:before="40" w:after="80" w:line="240" w:lineRule="auto"/>
        <w:jc w:val="center"/>
      </w:pPr>
      <w:r>
        <w:rPr>
          <w:rFonts w:ascii="Century Gothic" w:hAnsi="Century Gothic" w:cs="Century Gothic" w:eastAsia="Century Gothic"/>
          <w:b/>
          <w:i w:val="0"/>
          <w:sz w:val="20"/>
        </w:rPr>
        <w:t>Cuadro 3. Personal de las unidades dependientes de la Carrera</w:t>
      </w:r>
    </w:p>
    <w:tbl>
      <w:tblPr>
        <w:tblW w:type="auto" w:w="0"/>
        <w:jc w:val="center"/>
        <w:tblLayout w:type="fixed"/>
        <w:tblLook w:firstColumn="1" w:firstRow="1" w:lastColumn="0" w:lastRow="0" w:noHBand="0" w:noVBand="1" w:val="04A0"/>
      </w:tblPr>
      <w:tblGrid>
        <w:gridCol w:w="1134"/>
        <w:gridCol w:w="3402"/>
        <w:gridCol w:w="2835"/>
        <w:gridCol w:w="1701"/>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Cantidad</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Cargo</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Unidad</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Modalidad</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 en Gestión Académica y Financiera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PETAEG</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PETAEG</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II Gestión Secretarial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 Responsable Académico en Gestión Documental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II en Gestión Administrativa Financiera</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Técnico II Operador en Sistemas y Administrativo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Apoyo Administrativo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Unidad de Postgrado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Consultoría en línea</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7</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40" w:after="200" w:line="240" w:lineRule="auto"/>
        <w:jc w:val="left"/>
      </w:pPr>
      <w:r>
        <w:rPr>
          <w:rFonts w:ascii="Century Gothic" w:hAnsi="Century Gothic" w:cs="Century Gothic" w:eastAsia="Century Gothic"/>
          <w:b w:val="0"/>
          <w:i w:val="0"/>
          <w:sz w:val="16"/>
        </w:rPr>
        <w:t>PETAEG: Plan Excepcional de Titulación para Antiguos Estudiantes No Graduados. Fuente: Diagnóstico de la Carrera de Contaduría Pública, 2026.</w:t>
      </w:r>
    </w:p>
    <w:p>
      <w:pPr>
        <w:spacing w:before="0" w:after="200" w:line="240" w:lineRule="auto"/>
        <w:jc w:val="both"/>
      </w:pPr>
      <w:r>
        <w:rPr>
          <w:rFonts w:ascii="Century Gothic" w:hAnsi="Century Gothic" w:cs="Century Gothic" w:eastAsia="Century Gothic"/>
          <w:b w:val="0"/>
          <w:i w:val="0"/>
          <w:sz w:val="20"/>
        </w:rPr>
        <w:t>Las unidades dependientes no cuentan con ítems de planta. El PETAEG financia con recursos propios a dos servidores, responsables de la gestión académica y financiera y del apoyo administrativo, y la Unidad de Postgrado financia a cinco servidores en gestión secretarial, gestión documental, administración financiera, sistemas y apoyo administrativo. Esta capacidad de autogestión les permite atender sus propios requerimientos sin afectar la estructura administrativa de la Carrera, pero su continuidad depende de la generación de recursos propios.</w:t>
      </w:r>
    </w:p>
    <w:p>
      <w:pPr>
        <w:spacing w:before="0" w:after="200" w:line="240" w:lineRule="auto"/>
        <w:jc w:val="both"/>
      </w:pPr>
      <w:r>
        <w:rPr>
          <w:rFonts w:ascii="Century Gothic" w:hAnsi="Century Gothic" w:cs="Century Gothic" w:eastAsia="Century Gothic"/>
          <w:b w:val="0"/>
          <w:i w:val="0"/>
          <w:sz w:val="20"/>
        </w:rPr>
        <w:t>Con una población de 4.283 estudiantes matriculados y 3.143 inscritos en la gestión 2025, el personal administrativo disponible permite atender la demanda académica y administrativa, aunque esa capacidad se sostiene principalmente con personal contratado. El funcionamiento adecuado de la Carrera depende, en gran medida, de estas contrataciones.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2.7</w:t>
        <w:tab/>
      </w:r>
      <w:r>
        <w:rPr>
          <w:rFonts w:ascii="Century Gothic" w:hAnsi="Century Gothic" w:cs="Century Gothic" w:eastAsia="Century Gothic"/>
          <w:b/>
          <w:i w:val="0"/>
          <w:sz w:val="24"/>
        </w:rPr>
        <w:t>Estadísticas del programa/carrera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2.7.1</w:t>
        <w:tab/>
      </w:r>
      <w:r>
        <w:rPr>
          <w:rFonts w:ascii="Century Gothic" w:hAnsi="Century Gothic" w:cs="Century Gothic" w:eastAsia="Century Gothic"/>
          <w:b/>
          <w:i w:val="0"/>
          <w:sz w:val="22"/>
        </w:rPr>
        <w:t>Cuerpo docente</w:t>
      </w:r>
    </w:p>
    <w:p>
      <w:pPr>
        <w:keepNext/>
        <w:spacing w:before="40" w:after="80" w:line="240" w:lineRule="auto"/>
        <w:jc w:val="center"/>
      </w:pPr>
      <w:r>
        <w:rPr>
          <w:rFonts w:ascii="Century Gothic" w:hAnsi="Century Gothic" w:cs="Century Gothic" w:eastAsia="Century Gothic"/>
          <w:b/>
          <w:i w:val="0"/>
          <w:sz w:val="20"/>
        </w:rPr>
        <w:t>Cuadro 4. Docentes por categoría</w:t>
      </w:r>
    </w:p>
    <w:tbl>
      <w:tblPr>
        <w:tblW w:type="auto" w:w="0"/>
        <w:jc w:val="center"/>
        <w:tblLayout w:type="fixed"/>
        <w:tblLook w:firstColumn="1" w:firstRow="1" w:lastColumn="0" w:lastRow="0" w:noHBand="0" w:noVBand="1" w:val="04A0"/>
      </w:tblPr>
      <w:tblGrid>
        <w:gridCol w:w="4535"/>
        <w:gridCol w:w="1701"/>
        <w:gridCol w:w="2835"/>
      </w:tblGrid>
      <w:tr>
        <w:trPr>
          <w:tblHeader/>
        </w:trPr>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Categoría docente</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N.º</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Porcentaje</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Docentes titulares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85</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46,45 %</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Docentes interinos e invitados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98</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53,55 %</w:t>
            </w:r>
          </w:p>
        </w:tc>
      </w:tr>
      <w:tr>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183</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100,00 %</w:t>
            </w:r>
          </w:p>
        </w:tc>
      </w:tr>
    </w:tbl>
    <w:p>
      <w:pPr>
        <w:spacing w:before="40" w:after="200" w:line="240" w:lineRule="auto"/>
        <w:jc w:val="left"/>
      </w:pPr>
      <w:r>
        <w:rPr>
          <w:rFonts w:ascii="Century Gothic" w:hAnsi="Century Gothic" w:cs="Century Gothic" w:eastAsia="Century Gothic"/>
          <w:b w:val="0"/>
          <w:i w:val="0"/>
          <w:sz w:val="16"/>
        </w:rPr>
        <w:t>Fuente: Reporte de Personal Docente, Diagnóstico de la Carrera de Contaduría Pública, 2026.</w:t>
      </w:r>
    </w:p>
    <w:p>
      <w:pPr>
        <w:spacing w:before="0" w:after="200" w:line="240" w:lineRule="auto"/>
        <w:jc w:val="both"/>
      </w:pPr>
      <w:r>
        <w:rPr>
          <w:rFonts w:ascii="Century Gothic" w:hAnsi="Century Gothic" w:cs="Century Gothic" w:eastAsia="Century Gothic"/>
          <w:b w:val="0"/>
          <w:i w:val="0"/>
          <w:sz w:val="20"/>
        </w:rPr>
        <w:t>La proporción de docentes interinos, del 53,55 %, incide en la estabilidad pedagógica y en los procesos de investigación y extensión universitaria. El rediseño curricular debe contemplar una estrategia de fortalecimiento del plantel docente titular.</w:t>
      </w:r>
    </w:p>
    <w:p>
      <w:pPr>
        <w:keepNext/>
        <w:spacing w:before="40" w:after="80" w:line="240" w:lineRule="auto"/>
        <w:jc w:val="center"/>
      </w:pPr>
      <w:r>
        <w:rPr>
          <w:rFonts w:ascii="Century Gothic" w:hAnsi="Century Gothic" w:cs="Century Gothic" w:eastAsia="Century Gothic"/>
          <w:b/>
          <w:i w:val="0"/>
          <w:sz w:val="20"/>
        </w:rPr>
        <w:t>Cuadro 5. Carga horaria de los docentes por áreas, expresada en cantidad de docentes</w:t>
      </w:r>
    </w:p>
    <w:tbl>
      <w:tblPr>
        <w:tblW w:type="auto" w:w="0"/>
        <w:jc w:val="center"/>
        <w:tblLayout w:type="fixed"/>
        <w:tblLook w:firstColumn="1" w:firstRow="1" w:lastColumn="0" w:lastRow="0" w:noHBand="0" w:noVBand="1" w:val="04A0"/>
      </w:tblPr>
      <w:tblGrid>
        <w:gridCol w:w="3175"/>
        <w:gridCol w:w="737"/>
        <w:gridCol w:w="737"/>
        <w:gridCol w:w="737"/>
        <w:gridCol w:w="737"/>
        <w:gridCol w:w="737"/>
        <w:gridCol w:w="737"/>
        <w:gridCol w:w="737"/>
        <w:gridCol w:w="737"/>
      </w:tblGrid>
      <w:tr>
        <w:trPr>
          <w:tblHeader/>
        </w:trPr>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32 h</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64 h</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48 h</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96 h</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112 h</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128 h</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160 h</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Áreas troncales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Información Financiera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23</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41</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Servicios de Atestación y No Atestación</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áreas troncales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43</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73</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Áreas contextuales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Administración</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Derecho</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Economía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Matemáticas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áreas contextuales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7</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35</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áreas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63</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27</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8</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8</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108</w:t>
            </w:r>
          </w:p>
        </w:tc>
      </w:tr>
    </w:tbl>
    <w:p>
      <w:pPr>
        <w:spacing w:before="40" w:after="200" w:line="240" w:lineRule="auto"/>
        <w:jc w:val="left"/>
      </w:pPr>
      <w:r>
        <w:rPr>
          <w:rFonts w:ascii="Century Gothic" w:hAnsi="Century Gothic" w:cs="Century Gothic" w:eastAsia="Century Gothic"/>
          <w:b w:val="0"/>
          <w:i w:val="0"/>
          <w:sz w:val="16"/>
        </w:rPr>
        <w:t>Fuente: Reporte de Personal Docente, Diagnóstico de la Carrera de Contaduría Pública, 2026.</w:t>
      </w:r>
    </w:p>
    <w:p>
      <w:pPr>
        <w:keepNext/>
        <w:spacing w:before="40" w:after="80" w:line="240" w:lineRule="auto"/>
        <w:jc w:val="center"/>
      </w:pPr>
      <w:r>
        <w:rPr>
          <w:rFonts w:ascii="Century Gothic" w:hAnsi="Century Gothic" w:cs="Century Gothic" w:eastAsia="Century Gothic"/>
          <w:b/>
          <w:i w:val="0"/>
          <w:sz w:val="20"/>
        </w:rPr>
        <w:t>Cuadro 6. Docentes sin duplicidad entre áreas</w:t>
      </w:r>
    </w:p>
    <w:tbl>
      <w:tblPr>
        <w:tblW w:type="auto" w:w="0"/>
        <w:jc w:val="center"/>
        <w:tblLayout w:type="fixed"/>
        <w:tblLook w:firstColumn="1" w:firstRow="1" w:lastColumn="0" w:lastRow="0" w:noHBand="0" w:noVBand="1" w:val="04A0"/>
      </w:tblPr>
      <w:tblGrid>
        <w:gridCol w:w="6803"/>
        <w:gridCol w:w="2268"/>
      </w:tblGrid>
      <w:tr>
        <w:trPr>
          <w:tblHeader/>
        </w:trPr>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Concepto</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Cantidad</w:t>
            </w:r>
          </w:p>
        </w:tc>
      </w:tr>
      <w:tr>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Sumatoria total según el Cuadro 5</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108</w:t>
            </w:r>
          </w:p>
        </w:tc>
      </w:tr>
      <w:tr>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Menos: 2 docentes presentes en 3 áreas distintas, con 2 repeticiones cada uno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r>
      <w:tr>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Menos: 22 docentes presentes en 2 áreas distintas, con 1 repetición cada uno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w:t>
            </w:r>
          </w:p>
        </w:tc>
      </w:tr>
      <w:tr>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de docentes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82</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Los Cuadros 5 y 6 permiten establecer lo siguiente:</w:t>
      </w:r>
    </w:p>
    <w:p>
      <w:pPr>
        <w:numPr>
          <w:ilvl w:val="0"/>
          <w:numId w:val="904"/>
        </w:numPr>
        <w:spacing w:before="0" w:after="160" w:line="240" w:lineRule="auto"/>
        <w:jc w:val="both"/>
      </w:pPr>
      <w:r>
        <w:rPr>
          <w:rFonts w:ascii="Century Gothic" w:hAnsi="Century Gothic" w:cs="Century Gothic" w:eastAsia="Century Gothic"/>
          <w:b w:val="0"/>
          <w:i w:val="0"/>
          <w:sz w:val="20"/>
        </w:rPr>
        <w:t>En la presente gestión la Carrera cuenta con 82 docentes, que suman 108 cargas horarias por áreas, porque algunos docentes dictan asignaturas en más de un área.</w:t>
      </w:r>
    </w:p>
    <w:p>
      <w:pPr>
        <w:numPr>
          <w:ilvl w:val="0"/>
          <w:numId w:val="904"/>
        </w:numPr>
        <w:spacing w:before="0" w:after="160" w:line="240" w:lineRule="auto"/>
        <w:jc w:val="both"/>
      </w:pPr>
      <w:r>
        <w:rPr>
          <w:rFonts w:ascii="Century Gothic" w:hAnsi="Century Gothic" w:cs="Century Gothic" w:eastAsia="Century Gothic"/>
          <w:b w:val="0"/>
          <w:i w:val="0"/>
          <w:sz w:val="20"/>
        </w:rPr>
        <w:t>Por áreas, existen 2 cargas horarias de tiempo completo, 8 de 128 horas, 8 de 96 horas, 27 de 64 horas y 63 de 32 horas. La relación entre las cargas de tiempo completo y las de 32 horas debería ser inversa, situación que se agrava por la falta de asignación presupuestaria.</w:t>
      </w:r>
    </w:p>
    <w:p>
      <w:pPr>
        <w:numPr>
          <w:ilvl w:val="0"/>
          <w:numId w:val="904"/>
        </w:numPr>
        <w:spacing w:before="0" w:after="200" w:line="240" w:lineRule="auto"/>
        <w:jc w:val="both"/>
      </w:pPr>
      <w:r>
        <w:rPr>
          <w:rFonts w:ascii="Century Gothic" w:hAnsi="Century Gothic" w:cs="Century Gothic" w:eastAsia="Century Gothic"/>
          <w:b w:val="0"/>
          <w:i w:val="0"/>
          <w:sz w:val="20"/>
        </w:rPr>
        <w:t>Las áreas troncales concentran 73 cargas horarias y las áreas contextuales 35, lo que refleja la distribución de las asignaturas por áreas.</w:t>
      </w:r>
    </w:p>
    <w:p>
      <w:pPr>
        <w:spacing w:before="0" w:after="200" w:line="240" w:lineRule="auto"/>
        <w:jc w:val="both"/>
      </w:pPr>
      <w:r>
        <w:rPr>
          <w:rFonts w:ascii="Century Gothic" w:hAnsi="Century Gothic" w:cs="Century Gothic" w:eastAsia="Century Gothic"/>
          <w:b w:val="0"/>
          <w:i w:val="0"/>
          <w:sz w:val="20"/>
        </w:rPr>
        <w:t>En consecuencia, la Carrera requiere contar a la brevedad con un mayor número de docentes a tiempo completo y con mayor carga horaria, para asegurar una formación académica coherente y de excelencia.</w:t>
      </w:r>
    </w:p>
    <w:p>
      <w:pPr>
        <w:keepNext/>
        <w:spacing w:before="40" w:after="80" w:line="240" w:lineRule="auto"/>
        <w:jc w:val="center"/>
      </w:pPr>
      <w:r>
        <w:rPr>
          <w:rFonts w:ascii="Century Gothic" w:hAnsi="Century Gothic" w:cs="Century Gothic" w:eastAsia="Century Gothic"/>
          <w:b/>
          <w:i w:val="0"/>
          <w:sz w:val="20"/>
        </w:rPr>
        <w:t>Cuadro 7. Docentes por áreas y categoría, expresado en cantidad</w:t>
      </w:r>
    </w:p>
    <w:tbl>
      <w:tblPr>
        <w:tblW w:type="auto" w:w="0"/>
        <w:jc w:val="center"/>
        <w:tblLayout w:type="fixed"/>
        <w:tblLook w:firstColumn="1" w:firstRow="1" w:lastColumn="0" w:lastRow="0" w:noHBand="0" w:noVBand="1" w:val="04A0"/>
      </w:tblPr>
      <w:tblGrid>
        <w:gridCol w:w="2948"/>
        <w:gridCol w:w="907"/>
        <w:gridCol w:w="794"/>
        <w:gridCol w:w="794"/>
        <w:gridCol w:w="794"/>
        <w:gridCol w:w="850"/>
        <w:gridCol w:w="964"/>
        <w:gridCol w:w="907"/>
      </w:tblGrid>
      <w:tr>
        <w:trPr>
          <w:tblHeader/>
        </w:trPr>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Int. e inv.</w:t>
            </w:r>
          </w:p>
        </w:tc>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Tit. A</w:t>
            </w:r>
          </w:p>
        </w:tc>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Tit. B</w:t>
            </w:r>
          </w:p>
        </w:tc>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Tit. C</w:t>
            </w:r>
          </w:p>
        </w:tc>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Emér.</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 tit.</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Áreas troncales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Información Financiera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74</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Servicios de Atestación y No Atestación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45</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áreas troncales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67</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20</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52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119</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Áreas contextuales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Administración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15</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Derecho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Economía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Matemáticas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áreas contextuales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20</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64</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áreas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98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52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32</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85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183</w:t>
            </w:r>
          </w:p>
        </w:tc>
      </w:tr>
    </w:tbl>
    <w:p>
      <w:pPr>
        <w:spacing w:before="40" w:after="200" w:line="240" w:lineRule="auto"/>
        <w:jc w:val="left"/>
      </w:pPr>
      <w:r>
        <w:rPr>
          <w:rFonts w:ascii="Century Gothic" w:hAnsi="Century Gothic" w:cs="Century Gothic" w:eastAsia="Century Gothic"/>
          <w:b w:val="0"/>
          <w:i w:val="0"/>
          <w:sz w:val="16"/>
        </w:rPr>
        <w:t>Int. e inv.: docentes interinos e invitados. Tit.: docentes titulares por categoría. Emér.: docentes eméritos. La columna de titulares contratados no registra docentes y se omite. Fuente: Reporte de Personal Docente, Diagnóstico de la Carrera de Contaduría Pública, 2026.</w:t>
      </w:r>
    </w:p>
    <w:p>
      <w:pPr>
        <w:keepNext/>
        <w:spacing w:before="40" w:after="80" w:line="240" w:lineRule="auto"/>
        <w:jc w:val="center"/>
      </w:pPr>
      <w:r>
        <w:rPr>
          <w:rFonts w:ascii="Century Gothic" w:hAnsi="Century Gothic" w:cs="Century Gothic" w:eastAsia="Century Gothic"/>
          <w:b/>
          <w:i w:val="0"/>
          <w:sz w:val="20"/>
        </w:rPr>
        <w:t>Cuadro 8. Docentes por áreas y categoría, expresado en porcentaje</w:t>
      </w:r>
    </w:p>
    <w:tbl>
      <w:tblPr>
        <w:tblW w:type="auto" w:w="0"/>
        <w:jc w:val="center"/>
        <w:tblLayout w:type="fixed"/>
        <w:tblLook w:firstColumn="1" w:firstRow="1" w:lastColumn="0" w:lastRow="0" w:noHBand="0" w:noVBand="1" w:val="04A0"/>
      </w:tblPr>
      <w:tblGrid>
        <w:gridCol w:w="2948"/>
        <w:gridCol w:w="907"/>
        <w:gridCol w:w="794"/>
        <w:gridCol w:w="794"/>
        <w:gridCol w:w="794"/>
        <w:gridCol w:w="850"/>
        <w:gridCol w:w="964"/>
        <w:gridCol w:w="907"/>
      </w:tblGrid>
      <w:tr>
        <w:trPr>
          <w:tblHeader/>
        </w:trPr>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Int. e inv.</w:t>
            </w:r>
          </w:p>
        </w:tc>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Tit. A</w:t>
            </w:r>
          </w:p>
        </w:tc>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Tit. B</w:t>
            </w:r>
          </w:p>
        </w:tc>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Tit. C</w:t>
            </w:r>
          </w:p>
        </w:tc>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Emér.</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 tit.</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Áreas troncales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Información Financiera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18,58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13,11</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8,74</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21,86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40,44</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Servicios de Atestación y No Atestación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18,03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4,37</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2,19</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6,56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24,59</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áreas troncales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36,61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17,49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10,93</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28,42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65,03</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Áreas contextuales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Administración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3,83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0,55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2,19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1,64</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4,37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8,20</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Derecho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2,73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2,73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6,01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Economía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2,73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1,09</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3,83</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4,92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7,65</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Matemáticas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7,10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4,92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1,09</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6,01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13,11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áreas contextuales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16,94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0,55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10,93</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6,56</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18,03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34,97</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 áreas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53,55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0,00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0,55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28,42</w:t>
            </w:r>
          </w:p>
        </w:tc>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17,49</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46,45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100,00</w:t>
            </w:r>
          </w:p>
        </w:tc>
      </w:tr>
    </w:tbl>
    <w:p>
      <w:pPr>
        <w:spacing w:before="40" w:after="200" w:line="240" w:lineRule="auto"/>
        <w:jc w:val="left"/>
      </w:pPr>
      <w:r>
        <w:rPr>
          <w:rFonts w:ascii="Century Gothic" w:hAnsi="Century Gothic" w:cs="Century Gothic" w:eastAsia="Century Gothic"/>
          <w:b w:val="0"/>
          <w:i w:val="0"/>
          <w:sz w:val="16"/>
        </w:rPr>
        <w:t>Fuente: elaboración propia con base en el Cuadro 7.</w:t>
      </w:r>
    </w:p>
    <w:p>
      <w:pPr>
        <w:spacing w:before="0" w:after="200" w:line="240" w:lineRule="auto"/>
        <w:jc w:val="both"/>
      </w:pPr>
      <w:r>
        <w:rPr>
          <w:rFonts w:ascii="Century Gothic" w:hAnsi="Century Gothic" w:cs="Century Gothic" w:eastAsia="Century Gothic"/>
          <w:b w:val="0"/>
          <w:i w:val="0"/>
          <w:sz w:val="20"/>
        </w:rPr>
        <w:t>Según los Cuadros 7 y 8, existen 85 designaciones de docentes titulares, equivalentes al 46,45 %, y 98 de docentes interinos e invitados, equivalentes al 53,55 %. Aunque ambos grupos guardan cierto equilibrio, la normativa universitaria vigente establece que un porcentaje significativo de los docentes debe ser titular para asegurar la continuidad y la excelencia académica. Por tanto, la Carrera requiere incorporar a la brevedad docentes titulares mediante convocatoria pública a concurso de méritos y exámenes de competencia.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2.7.2</w:t>
        <w:tab/>
      </w:r>
      <w:r>
        <w:rPr>
          <w:rFonts w:ascii="Century Gothic" w:hAnsi="Century Gothic" w:cs="Century Gothic" w:eastAsia="Century Gothic"/>
          <w:b/>
          <w:i w:val="0"/>
          <w:sz w:val="22"/>
        </w:rPr>
        <w:t>Estudiantes</w:t>
      </w:r>
    </w:p>
    <w:p>
      <w:pPr>
        <w:keepNext/>
        <w:spacing w:before="40" w:after="80" w:line="240" w:lineRule="auto"/>
        <w:jc w:val="center"/>
      </w:pPr>
      <w:r>
        <w:rPr>
          <w:rFonts w:ascii="Century Gothic" w:hAnsi="Century Gothic" w:cs="Century Gothic" w:eastAsia="Century Gothic"/>
          <w:b/>
          <w:i w:val="0"/>
          <w:sz w:val="20"/>
        </w:rPr>
        <w:t>Cuadro 9. Estudiantes matriculados e inscritos</w:t>
      </w:r>
    </w:p>
    <w:tbl>
      <w:tblPr>
        <w:tblW w:type="auto" w:w="0"/>
        <w:jc w:val="center"/>
        <w:tblLayout w:type="fixed"/>
        <w:tblLook w:firstColumn="1" w:firstRow="1" w:lastColumn="0" w:lastRow="0" w:noHBand="0" w:noVBand="1" w:val="04A0"/>
      </w:tblPr>
      <w:tblGrid>
        <w:gridCol w:w="2835"/>
        <w:gridCol w:w="1247"/>
        <w:gridCol w:w="1247"/>
        <w:gridCol w:w="1247"/>
        <w:gridCol w:w="1247"/>
        <w:gridCol w:w="1247"/>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Estudiantes</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2021</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2022</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Matriculados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4.705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4.546</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4.447</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4.365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4.283</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Inscritos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3.152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3.231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3.214</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3.182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3.143</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Diferencia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1.553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1.315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1.233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1.183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1.140</w:t>
            </w:r>
          </w:p>
        </w:tc>
      </w:tr>
    </w:tbl>
    <w:p>
      <w:pPr>
        <w:spacing w:before="40" w:after="200" w:line="240" w:lineRule="auto"/>
        <w:jc w:val="left"/>
      </w:pPr>
      <w:r>
        <w:rPr>
          <w:rFonts w:ascii="Century Gothic" w:hAnsi="Century Gothic" w:cs="Century Gothic" w:eastAsia="Century Gothic"/>
          <w:b w:val="0"/>
          <w:i w:val="0"/>
          <w:sz w:val="16"/>
        </w:rPr>
        <w:t>Fuente: Sistema de Registro Universitario y Sistema de Seguimiento Académico.</w:t>
      </w:r>
    </w:p>
    <w:p>
      <w:pPr>
        <w:spacing w:before="0" w:after="200" w:line="240" w:lineRule="auto"/>
        <w:jc w:val="both"/>
      </w:pPr>
      <w:r>
        <w:rPr>
          <w:rFonts w:ascii="Century Gothic" w:hAnsi="Century Gothic" w:cs="Century Gothic" w:eastAsia="Century Gothic"/>
          <w:b w:val="0"/>
          <w:i w:val="0"/>
          <w:sz w:val="20"/>
        </w:rPr>
        <w:t>Del Cuadro 9 se establece lo siguiente:</w:t>
      </w:r>
    </w:p>
    <w:p>
      <w:pPr>
        <w:numPr>
          <w:ilvl w:val="0"/>
          <w:numId w:val="905"/>
        </w:numPr>
        <w:spacing w:before="0" w:after="160" w:line="240" w:lineRule="auto"/>
        <w:jc w:val="both"/>
      </w:pPr>
      <w:r>
        <w:rPr>
          <w:rFonts w:ascii="Century Gothic" w:hAnsi="Century Gothic" w:cs="Century Gothic" w:eastAsia="Century Gothic"/>
          <w:b w:val="0"/>
          <w:i w:val="0"/>
          <w:sz w:val="20"/>
        </w:rPr>
        <w:t>Los estudiantes matriculados disminuyeron de 4.705 en 2021, año base, a 4.283 en 2025, lo que representa una reducción del 8,97 %.</w:t>
      </w:r>
    </w:p>
    <w:p>
      <w:pPr>
        <w:numPr>
          <w:ilvl w:val="0"/>
          <w:numId w:val="905"/>
        </w:numPr>
        <w:spacing w:before="0" w:after="160" w:line="240" w:lineRule="auto"/>
        <w:jc w:val="both"/>
      </w:pPr>
      <w:r>
        <w:rPr>
          <w:rFonts w:ascii="Century Gothic" w:hAnsi="Century Gothic" w:cs="Century Gothic" w:eastAsia="Century Gothic"/>
          <w:b w:val="0"/>
          <w:i w:val="0"/>
          <w:sz w:val="20"/>
        </w:rPr>
        <w:t>Los estudiantes inscritos se mantuvieron estables en el mismo periodo, con una variación de 3.152 a 3.143, equivalente a una disminución del 0,29 %.</w:t>
      </w:r>
    </w:p>
    <w:p>
      <w:pPr>
        <w:numPr>
          <w:ilvl w:val="0"/>
          <w:numId w:val="905"/>
        </w:numPr>
        <w:spacing w:before="0" w:after="200" w:line="240" w:lineRule="auto"/>
        <w:jc w:val="both"/>
      </w:pPr>
      <w:r>
        <w:rPr>
          <w:rFonts w:ascii="Century Gothic" w:hAnsi="Century Gothic" w:cs="Century Gothic" w:eastAsia="Century Gothic"/>
          <w:b w:val="0"/>
          <w:i w:val="0"/>
          <w:sz w:val="20"/>
        </w:rPr>
        <w:t>La diferencia corresponde a estudiantes que obtuvieron su matrícula universitaria pero no se inscribieron en ninguna asignatura durante el año. Esta cifra se redujo de 1.553 en 2021 a 1.140 en 2025, que representan el 26,62 % del total de matriculados.</w:t>
      </w:r>
    </w:p>
    <w:p>
      <w:pPr>
        <w:keepNext/>
        <w:spacing w:before="40" w:after="80" w:line="240" w:lineRule="auto"/>
        <w:jc w:val="center"/>
      </w:pPr>
      <w:r>
        <w:rPr>
          <w:rFonts w:ascii="Century Gothic" w:hAnsi="Century Gothic" w:cs="Century Gothic" w:eastAsia="Century Gothic"/>
          <w:b/>
          <w:i w:val="0"/>
          <w:sz w:val="20"/>
        </w:rPr>
        <w:t>Cuadro 10. Estudiantes titulados por modalidad de graduación</w:t>
      </w:r>
    </w:p>
    <w:tbl>
      <w:tblPr>
        <w:tblW w:type="auto" w:w="0"/>
        <w:jc w:val="center"/>
        <w:tblLayout w:type="fixed"/>
        <w:tblLook w:firstColumn="1" w:firstRow="1" w:lastColumn="0" w:lastRow="0" w:noHBand="0" w:noVBand="1" w:val="04A0"/>
      </w:tblPr>
      <w:tblGrid>
        <w:gridCol w:w="2835"/>
        <w:gridCol w:w="1247"/>
        <w:gridCol w:w="1247"/>
        <w:gridCol w:w="1247"/>
        <w:gridCol w:w="1247"/>
        <w:gridCol w:w="1247"/>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Modalidad</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2021</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2022</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Tesis de grado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Proyecto de grado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9</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Trabajo dirigido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59</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39</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53</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Examen de grado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345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392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180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215</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188</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Excelencia académica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27</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27</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Memoria laboral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0</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Módulo de actualización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38</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Total titulados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441</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523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302</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353</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274</w:t>
            </w:r>
          </w:p>
        </w:tc>
      </w:tr>
    </w:tbl>
    <w:p>
      <w:pPr>
        <w:spacing w:before="40" w:after="200" w:line="240" w:lineRule="auto"/>
        <w:jc w:val="left"/>
      </w:pPr>
      <w:r>
        <w:rPr>
          <w:rFonts w:ascii="Century Gothic" w:hAnsi="Century Gothic" w:cs="Century Gothic" w:eastAsia="Century Gothic"/>
          <w:b w:val="0"/>
          <w:i w:val="0"/>
          <w:sz w:val="16"/>
        </w:rPr>
        <w:t>Fuente: División de Sistemas de Información y Estadística, UMSA.</w:t>
      </w:r>
    </w:p>
    <w:p>
      <w:pPr>
        <w:spacing w:before="0" w:after="200" w:line="240" w:lineRule="auto"/>
        <w:jc w:val="both"/>
      </w:pPr>
      <w:r>
        <w:rPr>
          <w:rFonts w:ascii="Century Gothic" w:hAnsi="Century Gothic" w:cs="Century Gothic" w:eastAsia="Century Gothic"/>
          <w:b w:val="0"/>
          <w:i w:val="0"/>
          <w:sz w:val="20"/>
        </w:rPr>
        <w:t>Según el Cuadro 10, la mayoría de los estudiantes se titula mediante el examen de grado, que en el periodo 2021 a 2025 representa el 69,7 % del total de titulados. Las demás modalidades tienen una participación reducida, debido principalmente a la falta de convenios interinstitucionales que permitan desarrollarlas de manera efectiva dentro del marco normativo de la Universidad Mayor de San Andrés.</w:t>
      </w:r>
    </w:p>
    <w:p>
      <w:pPr>
        <w:keepNext/>
        <w:spacing w:before="40" w:after="80" w:line="240" w:lineRule="auto"/>
        <w:jc w:val="center"/>
      </w:pPr>
      <w:r>
        <w:rPr>
          <w:rFonts w:ascii="Century Gothic" w:hAnsi="Century Gothic" w:cs="Century Gothic" w:eastAsia="Century Gothic"/>
          <w:b/>
          <w:i w:val="0"/>
          <w:sz w:val="20"/>
        </w:rPr>
        <w:t>Cuadro 11. Estudiantes inscritos por asignatura y paralelo</w:t>
      </w:r>
    </w:p>
    <w:tbl>
      <w:tblPr>
        <w:tblW w:type="auto" w:w="0"/>
        <w:jc w:val="center"/>
        <w:tblLayout w:type="fixed"/>
        <w:tblLook w:firstColumn="1" w:firstRow="1" w:lastColumn="0" w:lastRow="0" w:noHBand="0" w:noVBand="1" w:val="04A0"/>
      </w:tblPr>
      <w:tblGrid>
        <w:gridCol w:w="4309"/>
        <w:gridCol w:w="1191"/>
        <w:gridCol w:w="1191"/>
        <w:gridCol w:w="1191"/>
        <w:gridCol w:w="1191"/>
      </w:tblGrid>
      <w:tr>
        <w:trPr>
          <w:tblHeader/>
        </w:trPr>
        <w:tc>
          <w:tcPr>
            <w:tcW w:type="dxa" w:w="43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Concepto</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2026</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Estudiantes inscritos por asignatura y paralelo (CEIPAP)</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22.636</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23.811</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23.983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24.117</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Paralelos</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208</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229</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222</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227</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Promedio de estudiantes por paralelo (PEIPAP)</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109</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104</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108</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106</w:t>
            </w:r>
          </w:p>
        </w:tc>
      </w:tr>
    </w:tbl>
    <w:p>
      <w:pPr>
        <w:spacing w:before="40" w:after="200" w:line="240" w:lineRule="auto"/>
        <w:jc w:val="left"/>
      </w:pPr>
      <w:r>
        <w:rPr>
          <w:rFonts w:ascii="Century Gothic" w:hAnsi="Century Gothic" w:cs="Century Gothic" w:eastAsia="Century Gothic"/>
          <w:b w:val="0"/>
          <w:i w:val="0"/>
          <w:sz w:val="16"/>
        </w:rPr>
        <w:t>CEIPAP: cantidad de estudiantes inscritos por asignatura y paralelo. PEIPAP: promedio de estudiantes inscritos por asignatura y paralelo. Fuente: Centro de Cómputo de la Carrera de Contaduría Pública.</w:t>
      </w:r>
    </w:p>
    <w:p>
      <w:pPr>
        <w:spacing w:before="0" w:after="200" w:line="240" w:lineRule="auto"/>
        <w:jc w:val="both"/>
      </w:pPr>
      <w:r>
        <w:rPr>
          <w:rFonts w:ascii="Century Gothic" w:hAnsi="Century Gothic" w:cs="Century Gothic" w:eastAsia="Century Gothic"/>
          <w:b w:val="0"/>
          <w:i w:val="0"/>
          <w:sz w:val="20"/>
        </w:rPr>
        <w:t>Según el Cuadro 11, el promedio de estudiantes por paralelo se mantiene entre 104 y 109 en el periodo 2023 a 2026, una cifra elevada respecto a lo que requiere el trabajo académico por competencias. Además, el total de inscripciones por asignatura creció de 22.636 a 24.117. Por tanto, la Carrera necesita un mayor número de docentes y la asignación de mayor carga horaria para cumplir adecuadamente su cometido.</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1"/>
    <w:lvlOverride w:ilvl="0">
      <w:startOverride w:val="1"/>
    </w:lvlOverride>
  </w:num>
  <w:num w:numId="903">
    <w:abstractNumId w:val="900"/>
    <w:lvlOverride w:ilvl="0">
      <w:startOverride w:val="1"/>
    </w:lvlOverride>
  </w:num>
  <w:num w:numId="904">
    <w:abstractNumId w:val="900"/>
    <w:lvlOverride w:ilvl="0">
      <w:startOverride w:val="1"/>
    </w:lvlOverride>
  </w:num>
  <w:num w:numId="905">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