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Informe Final de la Comisión Académica</w:t>
      </w:r>
    </w:p>
    <w:p>
      <w:pPr>
        <w:spacing w:before="0" w:after="360" w:line="240" w:lineRule="auto"/>
        <w:jc w:val="center"/>
      </w:pPr>
      <w:r>
        <w:rPr>
          <w:rFonts w:ascii="Century Gothic" w:hAnsi="Century Gothic" w:cs="Century Gothic" w:eastAsia="Century Gothic"/>
          <w:b/>
          <w:i w:val="0"/>
          <w:sz w:val="28"/>
        </w:rPr>
        <w:t>Rediseño Curricular de la Licenciatura en Contaduría Pública</w:t>
      </w:r>
    </w:p>
    <w:p>
      <w:pPr>
        <w:tabs>
          <w:tab w:pos="1701" w:val="left"/>
        </w:tabs>
        <w:spacing w:before="0" w:after="40" w:line="240" w:lineRule="auto"/>
        <w:ind w:left="1701" w:hanging="1701"/>
        <w:jc w:val="left"/>
      </w:pPr>
      <w:r>
        <w:rPr>
          <w:rFonts w:ascii="Century Gothic" w:hAnsi="Century Gothic" w:cs="Century Gothic" w:eastAsia="Century Gothic"/>
          <w:b/>
          <w:i w:val="0"/>
          <w:sz w:val="20"/>
        </w:rPr>
        <w:t>A:</w:t>
      </w:r>
      <w:r>
        <w:rPr>
          <w:rFonts w:ascii="Century Gothic" w:hAnsi="Century Gothic" w:cs="Century Gothic" w:eastAsia="Century Gothic"/>
          <w:b w:val="0"/>
          <w:i w:val="0"/>
          <w:sz w:val="20"/>
        </w:rPr>
        <w:tab/>
        <w:t>Honorable Consejo de Carrera de Contaduría Pública</w:t>
      </w:r>
    </w:p>
    <w:p>
      <w:pPr>
        <w:tabs>
          <w:tab w:pos="1701" w:val="left"/>
        </w:tabs>
        <w:spacing w:before="0" w:after="40" w:line="240" w:lineRule="auto"/>
        <w:ind w:left="1701" w:hanging="1701"/>
        <w:jc w:val="left"/>
      </w:pPr>
      <w:r>
        <w:rPr>
          <w:rFonts w:ascii="Century Gothic" w:hAnsi="Century Gothic" w:cs="Century Gothic" w:eastAsia="Century Gothic"/>
          <w:b/>
          <w:i w:val="0"/>
          <w:sz w:val="20"/>
        </w:rPr>
        <w:t>DE:</w:t>
      </w:r>
      <w:r>
        <w:rPr>
          <w:rFonts w:ascii="Century Gothic" w:hAnsi="Century Gothic" w:cs="Century Gothic" w:eastAsia="Century Gothic"/>
          <w:b w:val="0"/>
          <w:i w:val="0"/>
          <w:sz w:val="20"/>
        </w:rPr>
        <w:tab/>
        <w:t>Comisión Académica del Rediseño Curricular</w:t>
      </w:r>
    </w:p>
    <w:p>
      <w:pPr>
        <w:tabs>
          <w:tab w:pos="1701" w:val="left"/>
        </w:tabs>
        <w:spacing w:before="0" w:after="40" w:line="240" w:lineRule="auto"/>
        <w:ind w:left="1701" w:hanging="1701"/>
        <w:jc w:val="left"/>
      </w:pPr>
      <w:r>
        <w:rPr>
          <w:rFonts w:ascii="Century Gothic" w:hAnsi="Century Gothic" w:cs="Century Gothic" w:eastAsia="Century Gothic"/>
          <w:b/>
          <w:i w:val="0"/>
          <w:sz w:val="20"/>
        </w:rPr>
        <w:t>REF.:</w:t>
      </w:r>
      <w:r>
        <w:rPr>
          <w:rFonts w:ascii="Century Gothic" w:hAnsi="Century Gothic" w:cs="Century Gothic" w:eastAsia="Century Gothic"/>
          <w:b w:val="0"/>
          <w:i w:val="0"/>
          <w:sz w:val="20"/>
        </w:rPr>
        <w:tab/>
        <w:t>Informe final de la Comisión Académica sobre el Rediseño Curricular de la Licenciatura en Contaduría Pública, en cumplimiento de la Resolución HCU N.º 032/2025</w:t>
      </w:r>
    </w:p>
    <w:p>
      <w:pPr>
        <w:tabs>
          <w:tab w:pos="1701" w:val="left"/>
        </w:tabs>
        <w:spacing w:before="0" w:after="40" w:line="240" w:lineRule="auto"/>
        <w:ind w:left="1701" w:hanging="1701"/>
        <w:jc w:val="left"/>
      </w:pPr>
      <w:r>
        <w:rPr>
          <w:rFonts w:ascii="Century Gothic" w:hAnsi="Century Gothic" w:cs="Century Gothic" w:eastAsia="Century Gothic"/>
          <w:b/>
          <w:i w:val="0"/>
          <w:sz w:val="20"/>
        </w:rPr>
        <w:t>FECHA:</w:t>
      </w:r>
      <w:r>
        <w:rPr>
          <w:rFonts w:ascii="Century Gothic" w:hAnsi="Century Gothic" w:cs="Century Gothic" w:eastAsia="Century Gothic"/>
          <w:b w:val="0"/>
          <w:i w:val="0"/>
          <w:sz w:val="20"/>
        </w:rPr>
        <w:tab/>
        <w:t>La Paz, 19 de octubre de 2026</w:t>
      </w:r>
    </w:p>
    <w:p>
      <w:pPr>
        <w:spacing w:before="0" w:after="240" w:line="240" w:lineRule="auto"/>
        <w:jc w:val="both"/>
        <w:pBdr>
          <w:bottom w:val="single" w:sz="8" w:space="1" w:color="000000"/>
        </w:pBdr>
      </w:pPr>
    </w:p>
    <w:p>
      <w:pPr>
        <w:spacing w:before="0" w:after="200" w:line="240" w:lineRule="auto"/>
        <w:jc w:val="both"/>
      </w:pPr>
      <w:r>
        <w:rPr>
          <w:rFonts w:ascii="Century Gothic" w:hAnsi="Century Gothic" w:cs="Century Gothic" w:eastAsia="Century Gothic"/>
          <w:b w:val="0"/>
          <w:i w:val="0"/>
          <w:sz w:val="20"/>
        </w:rPr>
        <w:t>La Comisión Académica del Rediseño Curricular informa sobre el trabajo realizado desde su conformación hasta la consolidación del documento final del Rediseño Curricular de la Licenciatura en Contaduría Pública, en cumplimiento del Artículo 15 de la Resolución HCU N.º 032/2025, Reglamento de Innovación Curricular de la Universidad Mayor de San Andrés, y del mandato recibido de la Asamblea Docente Estudiantil de la Carrera.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w:t>
        <w:tab/>
      </w:r>
      <w:r>
        <w:rPr>
          <w:rFonts w:ascii="Century Gothic" w:hAnsi="Century Gothic" w:cs="Century Gothic" w:eastAsia="Century Gothic"/>
          <w:b/>
          <w:i w:val="0"/>
          <w:sz w:val="24"/>
        </w:rPr>
        <w:t>Antecedentes normativos</w:t>
      </w:r>
    </w:p>
    <w:p>
      <w:pPr>
        <w:spacing w:before="0" w:after="200" w:line="240" w:lineRule="auto"/>
        <w:jc w:val="both"/>
      </w:pPr>
      <w:r>
        <w:rPr>
          <w:rFonts w:ascii="Century Gothic" w:hAnsi="Century Gothic" w:cs="Century Gothic" w:eastAsia="Century Gothic"/>
          <w:b w:val="0"/>
          <w:i w:val="0"/>
          <w:sz w:val="20"/>
        </w:rPr>
        <w:t>El Honorable Consejo Universitario aprobó, mediante la Resolución HCU N.º 032/2025, de 12 de febrero de 2025, el Reglamento de Innovación Curricular de la UMSA. El reglamento define los niveles de innovación curricular, establece la estructura de contenidos de los planes de estudio en 16 puntos, fija los criterios de calidad para la evaluación ex ante y regula el procedimiento de aprobación. Su Artículo 5 dispone que el rediseño curricular, que implica la reformulación del perfil de egreso y la actualización de la estructura curricular y de los planes de asignatura, se efectúe obligatoriamente cada siete años, por declaración de necesidad.</w:t>
      </w:r>
    </w:p>
    <w:p>
      <w:pPr>
        <w:spacing w:before="0" w:after="200" w:line="240" w:lineRule="auto"/>
        <w:jc w:val="both"/>
      </w:pPr>
      <w:r>
        <w:rPr>
          <w:rFonts w:ascii="Century Gothic" w:hAnsi="Century Gothic" w:cs="Century Gothic" w:eastAsia="Century Gothic"/>
          <w:b w:val="0"/>
          <w:i w:val="0"/>
          <w:sz w:val="20"/>
        </w:rPr>
        <w:t>El Artículo 15 establece el procedimiento que la Comisión Académica siguió en todas sus etapas: la declaratoria de necesidad, la elección de la Comisión Académica en Asamblea Docente Estudiantil, la conformación de subcomisiones de trabajo en paridad docente estudiantil, la presentación de sus resultados mediante informes, su revisión y aprobación en plenaria de Comisión, y la presentación del documento con el informe de la Comisión Académica al Honorable Consejo de Carrera.</w:t>
      </w:r>
    </w:p>
    <w:p>
      <w:pPr>
        <w:spacing w:before="0" w:after="200" w:line="240" w:lineRule="auto"/>
        <w:jc w:val="both"/>
      </w:pPr>
      <w:r>
        <w:rPr>
          <w:rFonts w:ascii="Century Gothic" w:hAnsi="Century Gothic" w:cs="Century Gothic" w:eastAsia="Century Gothic"/>
          <w:b w:val="0"/>
          <w:i w:val="0"/>
          <w:sz w:val="20"/>
        </w:rPr>
        <w:t>A nivel del Sistema de la Universidad Boliviana, el rediseño se sustenta en las conclusiones de la III-XIII Reunión Sectorial de las Carreras de Contaduría Pública, realizada en Trinidad en mayo de 2024 y ratificada por la Resolución N.º 07/2024 de la VI Conferencia Nacional Ordinaria de Universidades, que adopta el modelo de formación del Contador Público Autorizado. Se consideraron además el Reglamento General de Títulos y Grados del Sistema de la Universidad Boliviana, las Resoluciones HCU N.º 290/2016 y N.º 426/2024, que respaldan las salidas intermedias de la Carrera, y las Normas Internacionales de Educación de la Federación Internacional de Contadores. El detalle de la normativa aplicada se presenta en el Anexo 1.</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w:t>
        <w:tab/>
      </w:r>
      <w:r>
        <w:rPr>
          <w:rFonts w:ascii="Century Gothic" w:hAnsi="Century Gothic" w:cs="Century Gothic" w:eastAsia="Century Gothic"/>
          <w:b/>
          <w:i w:val="0"/>
          <w:sz w:val="24"/>
        </w:rPr>
        <w:t>Plan de estudios vigente</w:t>
      </w:r>
    </w:p>
    <w:p>
      <w:pPr>
        <w:spacing w:before="0" w:after="200" w:line="240" w:lineRule="auto"/>
        <w:jc w:val="both"/>
      </w:pPr>
      <w:r>
        <w:rPr>
          <w:rFonts w:ascii="Century Gothic" w:hAnsi="Century Gothic" w:cs="Century Gothic" w:eastAsia="Century Gothic"/>
          <w:b w:val="0"/>
          <w:i w:val="0"/>
          <w:sz w:val="20"/>
        </w:rPr>
        <w:t>El Plan de Estudios 2013 fue aprobado por las Resoluciones HCC N.º 162/2012, HCF N.º 929/2012 y HCU N.º 025/2013, y rige desde febrero de 2013, con cinco años, 43 asignaturas y 6.000 horas académicas. A la fecha suma trece años de aplicación, casi el doble del plazo de siete años que el Artículo 5 del reglamento fija para el rediseño.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Diagnóstico y declaratoria de necesidad</w:t>
      </w:r>
    </w:p>
    <w:p>
      <w:pPr>
        <w:spacing w:before="0" w:after="200" w:line="240" w:lineRule="auto"/>
        <w:jc w:val="both"/>
      </w:pPr>
      <w:r>
        <w:rPr>
          <w:rFonts w:ascii="Century Gothic" w:hAnsi="Century Gothic" w:cs="Century Gothic" w:eastAsia="Century Gothic"/>
          <w:b w:val="0"/>
          <w:i w:val="0"/>
          <w:sz w:val="20"/>
        </w:rPr>
        <w:t>Mediante nota FCEF/CARR/CONT. PUBL. N.º 1474/2026, la Dirección de Carrera remitió al Honorable Consejo Facultativo el Proyecto de Resolución N.º 269/2026, con el Diagnóstico de la Carrera y la solicitud de declarar la necesidad de rediseño. La Resolución HCF N.º 1057/2026, de 25 de agosto de 2026, aprobó el Diagnóstico como documento base y la Declaratoria de Necesidad de Rediseño Curricular, y autorizó la convocatoria a Asamblea Docente Estudiantil.</w:t>
      </w:r>
    </w:p>
    <w:p>
      <w:pPr>
        <w:spacing w:before="0" w:after="200" w:line="240" w:lineRule="auto"/>
        <w:jc w:val="both"/>
      </w:pPr>
      <w:r>
        <w:rPr>
          <w:rFonts w:ascii="Century Gothic" w:hAnsi="Century Gothic" w:cs="Century Gothic" w:eastAsia="Century Gothic"/>
          <w:b w:val="0"/>
          <w:i w:val="0"/>
          <w:sz w:val="20"/>
        </w:rPr>
        <w:t>El diagnóstico se apoyó en el estudio de mercado laboral de Ipsos CIESMORI de diciembre de 2025, aplicado a 160 egresados, en la encuesta FODA del Instituto de Investigaciones de 2025, en las estadísticas académicas de la Carrera y en el Plan Estratégico Institucional de la Facultad 2026-2030, aprobado por la Resolución HCF N.º 1013/2026, cuyo objetivo estratégico OE 1.3 prevé la actualización de los planes de estudio.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w:t>
        <w:tab/>
      </w:r>
      <w:r>
        <w:rPr>
          <w:rFonts w:ascii="Century Gothic" w:hAnsi="Century Gothic" w:cs="Century Gothic" w:eastAsia="Century Gothic"/>
          <w:b/>
          <w:i w:val="0"/>
          <w:sz w:val="24"/>
        </w:rPr>
        <w:t>Elección y conformación de la Comisión Académica</w:t>
      </w:r>
    </w:p>
    <w:p>
      <w:pPr>
        <w:spacing w:before="0" w:after="200" w:line="240" w:lineRule="auto"/>
        <w:jc w:val="both"/>
      </w:pPr>
      <w:r>
        <w:rPr>
          <w:rFonts w:ascii="Century Gothic" w:hAnsi="Century Gothic" w:cs="Century Gothic" w:eastAsia="Century Gothic"/>
          <w:b w:val="0"/>
          <w:i w:val="0"/>
          <w:sz w:val="20"/>
        </w:rPr>
        <w:t>La Asamblea Docente Estudiantil, convocada conforme al Artículo Tercero de la Resolución HCF N.º 1057/2026, conoció el Diagnóstico y los fundamentos de la Declaratoria de Necesidad y eligió a los miembros de la Comisión Académica. Conforme al Artículo 15 del reglamento, la Comisión quedó integrada por el Director de Carrera, quien la preside, cinco docentes y cinco estudiantes. La Resolución HCF N.º 1126/2026, de 10 de septiembre de 2026, aprobó su conformación y dispuso el inicio formal del proyecto curricular. La nómina de sus integrantes figura en el Anexo 2.</w:t>
      </w:r>
    </w:p>
    <w:p>
      <w:pPr>
        <w:spacing w:before="0" w:after="200" w:line="240" w:lineRule="auto"/>
        <w:jc w:val="both"/>
      </w:pPr>
      <w:r>
        <w:rPr>
          <w:rFonts w:ascii="Century Gothic" w:hAnsi="Century Gothic" w:cs="Century Gothic" w:eastAsia="Century Gothic"/>
          <w:b w:val="0"/>
          <w:i w:val="0"/>
          <w:sz w:val="20"/>
        </w:rPr>
        <w:t>La Resolución HCF N.º 1057/2026 encomendó a la Comisión Académica elaborar su plan de trabajo y cronograma, y organizar las subcomisiones de trabajo en paridad docente estudiantil para desarrollar la propuesta de innovación curricular en el nivel de rediseño.</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Desarrollo</w:t>
      </w:r>
    </w:p>
    <w:p>
      <w:pPr>
        <w:spacing w:before="0" w:after="200" w:line="240" w:lineRule="auto"/>
        <w:jc w:val="both"/>
      </w:pPr>
      <w:r>
        <w:rPr>
          <w:rFonts w:ascii="Century Gothic" w:hAnsi="Century Gothic" w:cs="Century Gothic" w:eastAsia="Century Gothic"/>
          <w:b w:val="0"/>
          <w:i w:val="0"/>
          <w:sz w:val="20"/>
        </w:rPr>
        <w:t>La Comisión Académica cumplió su mandato en diez etapas, que se describen a continuación. La cronología del proceso se presenta en el Anexo 3.</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Plan de trabajo de la Comisión Académica</w:t>
      </w:r>
    </w:p>
    <w:p>
      <w:pPr>
        <w:spacing w:before="0" w:after="200" w:line="240" w:lineRule="auto"/>
        <w:jc w:val="both"/>
      </w:pPr>
      <w:r>
        <w:rPr>
          <w:rFonts w:ascii="Century Gothic" w:hAnsi="Century Gothic" w:cs="Century Gothic" w:eastAsia="Century Gothic"/>
          <w:b w:val="0"/>
          <w:i w:val="0"/>
          <w:sz w:val="20"/>
        </w:rPr>
        <w:t>En su sesión de instalación, la Comisión Académica designó a su secretario docente y a su secretario estudiantil, responsables de las actas y de la redacción del documento, y aprobó su plan de trabajo y cronograma. El plan organizó el proceso en cuatro fases: la definición de los elementos rectores del rediseño por la propia Comisión, la socialización y el trabajo de las subcomisiones, la revisión de sus informes en plenaria de Comisión y la consolidación del documento final.</w:t>
      </w:r>
    </w:p>
    <w:p>
      <w:pPr>
        <w:spacing w:before="0" w:after="200" w:line="240" w:lineRule="auto"/>
        <w:jc w:val="both"/>
      </w:pPr>
      <w:r>
        <w:rPr>
          <w:rFonts w:ascii="Century Gothic" w:hAnsi="Century Gothic" w:cs="Century Gothic" w:eastAsia="Century Gothic"/>
          <w:b w:val="0"/>
          <w:i w:val="0"/>
          <w:sz w:val="20"/>
        </w:rPr>
        <w:t>Para la segunda fase, la Comisión conformó dos tipos de subcomisiones de trabajo en paridad docente estudiantil: nueve subcomisiones académicas por área de conocimiento, a cargo de los planes de las 43 asignaturas del punto 4.5, y subcomisiones administrativas, a cargo de los demás puntos de la estructura del Artículo 8. Su composición se detalla en los Anexos 4 y 5.</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Diseño de la visión, misión, objetivos, perfil de la Carrera y perfil profesional</w:t>
      </w:r>
    </w:p>
    <w:p>
      <w:pPr>
        <w:spacing w:before="0" w:after="200" w:line="240" w:lineRule="auto"/>
        <w:jc w:val="both"/>
      </w:pPr>
      <w:r>
        <w:rPr>
          <w:rFonts w:ascii="Century Gothic" w:hAnsi="Century Gothic" w:cs="Century Gothic" w:eastAsia="Century Gothic"/>
          <w:b w:val="0"/>
          <w:i w:val="0"/>
          <w:sz w:val="20"/>
        </w:rPr>
        <w:t>La Comisión Académica elaboró directamente los elementos rectores del rediseño, que orientan el trabajo de todas las subcomisiones:</w:t>
      </w:r>
    </w:p>
    <w:p>
      <w:pPr>
        <w:numPr>
          <w:ilvl w:val="0"/>
          <w:numId w:val="901"/>
        </w:numPr>
        <w:spacing w:before="0" w:after="160" w:line="240" w:lineRule="auto"/>
        <w:jc w:val="both"/>
      </w:pPr>
      <w:r>
        <w:rPr>
          <w:rFonts w:ascii="Century Gothic" w:hAnsi="Century Gothic" w:cs="Century Gothic" w:eastAsia="Century Gothic"/>
          <w:b/>
          <w:i w:val="0"/>
          <w:sz w:val="20"/>
        </w:rPr>
        <w:t>Visión y misión</w:t>
      </w:r>
      <w:r>
        <w:rPr>
          <w:rFonts w:ascii="Century Gothic" w:hAnsi="Century Gothic" w:cs="Century Gothic" w:eastAsia="Century Gothic"/>
          <w:b w:val="0"/>
          <w:i w:val="0"/>
          <w:sz w:val="20"/>
        </w:rPr>
        <w:t xml:space="preserve"> de la Carrera, orientadas a la formación del Contador Público con excelencia científica, técnica, ética y humanística, competente en la preparación, el aseguramiento y el análisis de información financiera y no financiera.</w:t>
      </w:r>
    </w:p>
    <w:p>
      <w:pPr>
        <w:numPr>
          <w:ilvl w:val="0"/>
          <w:numId w:val="901"/>
        </w:numPr>
        <w:spacing w:before="0" w:after="160" w:line="240" w:lineRule="auto"/>
        <w:jc w:val="both"/>
      </w:pPr>
      <w:r>
        <w:rPr>
          <w:rFonts w:ascii="Century Gothic" w:hAnsi="Century Gothic" w:cs="Century Gothic" w:eastAsia="Century Gothic"/>
          <w:b/>
          <w:i w:val="0"/>
          <w:sz w:val="20"/>
        </w:rPr>
        <w:t>Objetivos de la Carrera</w:t>
      </w:r>
      <w:r>
        <w:rPr>
          <w:rFonts w:ascii="Century Gothic" w:hAnsi="Century Gothic" w:cs="Century Gothic" w:eastAsia="Century Gothic"/>
          <w:b w:val="0"/>
          <w:i w:val="0"/>
          <w:sz w:val="20"/>
        </w:rPr>
        <w:t>, organizados en seis ejes estratégicos: calidad y pertinencia curricular; transformación digital e innovación; ética, responsabilidad pública y gobernanza; investigación y pensamiento crítico; internacionalización; y vinculación práctica e interacción social.</w:t>
      </w:r>
    </w:p>
    <w:p>
      <w:pPr>
        <w:numPr>
          <w:ilvl w:val="0"/>
          <w:numId w:val="901"/>
        </w:numPr>
        <w:spacing w:before="0" w:after="160" w:line="240" w:lineRule="auto"/>
        <w:jc w:val="both"/>
      </w:pPr>
      <w:r>
        <w:rPr>
          <w:rFonts w:ascii="Century Gothic" w:hAnsi="Century Gothic" w:cs="Century Gothic" w:eastAsia="Century Gothic"/>
          <w:b/>
          <w:i w:val="0"/>
          <w:sz w:val="20"/>
        </w:rPr>
        <w:t>Valores</w:t>
      </w:r>
      <w:r>
        <w:rPr>
          <w:rFonts w:ascii="Century Gothic" w:hAnsi="Century Gothic" w:cs="Century Gothic" w:eastAsia="Century Gothic"/>
          <w:b w:val="0"/>
          <w:i w:val="0"/>
          <w:sz w:val="20"/>
        </w:rPr>
        <w:t>: excelencia profesional, integridad, innovación, adaptabilidad, pensamiento crítico y responsabilidad social.</w:t>
      </w:r>
    </w:p>
    <w:p>
      <w:pPr>
        <w:numPr>
          <w:ilvl w:val="0"/>
          <w:numId w:val="901"/>
        </w:numPr>
        <w:spacing w:before="0" w:after="160" w:line="240" w:lineRule="auto"/>
        <w:jc w:val="both"/>
      </w:pPr>
      <w:r>
        <w:rPr>
          <w:rFonts w:ascii="Century Gothic" w:hAnsi="Century Gothic" w:cs="Century Gothic" w:eastAsia="Century Gothic"/>
          <w:b/>
          <w:i w:val="0"/>
          <w:sz w:val="20"/>
        </w:rPr>
        <w:t>Necesidades de formación</w:t>
      </w:r>
      <w:r>
        <w:rPr>
          <w:rFonts w:ascii="Century Gothic" w:hAnsi="Century Gothic" w:cs="Century Gothic" w:eastAsia="Century Gothic"/>
          <w:b w:val="0"/>
          <w:i w:val="0"/>
          <w:sz w:val="20"/>
        </w:rPr>
        <w:t>, sustentadas en la evidencia del diagnóstico en cinco dimensiones: tecnológica y digital, técnico-especializada y de sostenibilidad, ética y de gobernanza, de formación práctica, y de pensamiento crítico e internacionalización.</w:t>
      </w:r>
    </w:p>
    <w:p>
      <w:pPr>
        <w:numPr>
          <w:ilvl w:val="0"/>
          <w:numId w:val="901"/>
        </w:numPr>
        <w:spacing w:before="0" w:after="200" w:line="240" w:lineRule="auto"/>
        <w:jc w:val="both"/>
      </w:pPr>
      <w:r>
        <w:rPr>
          <w:rFonts w:ascii="Century Gothic" w:hAnsi="Century Gothic" w:cs="Century Gothic" w:eastAsia="Century Gothic"/>
          <w:b/>
          <w:i w:val="0"/>
          <w:sz w:val="20"/>
        </w:rPr>
        <w:t>Perfil profesional</w:t>
      </w:r>
      <w:r>
        <w:rPr>
          <w:rFonts w:ascii="Century Gothic" w:hAnsi="Century Gothic" w:cs="Century Gothic" w:eastAsia="Century Gothic"/>
          <w:b w:val="0"/>
          <w:i w:val="0"/>
          <w:sz w:val="20"/>
        </w:rPr>
        <w:t>, desarrollado en sus seis componentes: consideraciones sobre la profesión, objeto, objetivos, entorno, sistema de acciones y herramientas, y competencias del saber conocer, saber hacer y saber ser y convivir, con la matriz del mapa de competencias y la declaración sintética del perfil de egreso.</w:t>
      </w:r>
    </w:p>
    <w:p>
      <w:pPr>
        <w:spacing w:before="0" w:after="200" w:line="240" w:lineRule="auto"/>
        <w:jc w:val="both"/>
      </w:pPr>
      <w:r>
        <w:rPr>
          <w:rFonts w:ascii="Century Gothic" w:hAnsi="Century Gothic" w:cs="Century Gothic" w:eastAsia="Century Gothic"/>
          <w:b w:val="0"/>
          <w:i w:val="0"/>
          <w:sz w:val="20"/>
        </w:rPr>
        <w:t>Sobre esa base, la Comisión elaboró además el documento base del plan de estudios, con la fundamentación filosófica, epistemológica y pedagógica, la alineación con las Normas Internacionales de Educación, los perfiles del postulante, del estudiante y del docente, las áreas de desempeño profesional y de conocimiento, la malla curricular, la distribución de la carga horaria por año, los ejes transversales, el régimen académico, las modalidades de graduación y las tablas de convalidación y homologación. Este documento sirvió de referencia común a las subcomisiones.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Reunión informativa sobre la Resolución HCU N.º 032/2025</w:t>
      </w:r>
    </w:p>
    <w:p>
      <w:pPr>
        <w:spacing w:before="0" w:after="200" w:line="240" w:lineRule="auto"/>
        <w:jc w:val="both"/>
      </w:pPr>
      <w:r>
        <w:rPr>
          <w:rFonts w:ascii="Century Gothic" w:hAnsi="Century Gothic" w:cs="Century Gothic" w:eastAsia="Century Gothic"/>
          <w:b w:val="0"/>
          <w:i w:val="0"/>
          <w:sz w:val="20"/>
        </w:rPr>
        <w:t>La Comisión Académica convocó a docentes y estudiantes a una reunión informativa con la participación del Secretario Académico de la UMSA, en la que se expusieron el Reglamento de Innovación Curricular, los niveles de innovación, la estructura de 16 puntos del Artículo 8, los criterios de la evaluación ex ante y el procedimiento de aprobación del Artículo 15.</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Socialización de la visión, misión, objetivos y perfiles</w:t>
      </w:r>
    </w:p>
    <w:p>
      <w:pPr>
        <w:spacing w:before="0" w:after="200" w:line="240" w:lineRule="auto"/>
        <w:jc w:val="both"/>
      </w:pPr>
      <w:r>
        <w:rPr>
          <w:rFonts w:ascii="Century Gothic" w:hAnsi="Century Gothic" w:cs="Century Gothic" w:eastAsia="Century Gothic"/>
          <w:b w:val="0"/>
          <w:i w:val="0"/>
          <w:sz w:val="20"/>
        </w:rPr>
        <w:t>La Comisión Académica puso en conocimiento de docentes y estudiantes la visión, la misión, los objetivos, el perfil de la Carrera y el perfil profesional, y solicitó que las observaciones y sugerencias se presentaran por escrito a la Dirección de Carrera en el plazo establecido. Vencido el plazo, la Comisión Académica no recibió ninguna observación ni sugerencia, por lo que los documentos se mantuvieron como base del rediseño.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Entrega de documentación de respaldo a las subcomisiones</w:t>
      </w:r>
    </w:p>
    <w:p>
      <w:pPr>
        <w:spacing w:before="0" w:after="200" w:line="240" w:lineRule="auto"/>
        <w:jc w:val="both"/>
      </w:pPr>
      <w:r>
        <w:rPr>
          <w:rFonts w:ascii="Century Gothic" w:hAnsi="Century Gothic" w:cs="Century Gothic" w:eastAsia="Century Gothic"/>
          <w:b w:val="0"/>
          <w:i w:val="0"/>
          <w:sz w:val="20"/>
        </w:rPr>
        <w:t>En reunión con los docentes y estudiantes de las subcomisiones académicas y administrativas, la Comisión Académica entregó la documentación de respaldo para su trabajo:</w:t>
      </w:r>
    </w:p>
    <w:p>
      <w:pPr>
        <w:numPr>
          <w:ilvl w:val="0"/>
          <w:numId w:val="902"/>
        </w:numPr>
        <w:spacing w:before="0" w:after="160" w:line="240" w:lineRule="auto"/>
        <w:jc w:val="both"/>
      </w:pPr>
      <w:r>
        <w:rPr>
          <w:rFonts w:ascii="Century Gothic" w:hAnsi="Century Gothic" w:cs="Century Gothic" w:eastAsia="Century Gothic"/>
          <w:b w:val="0"/>
          <w:i w:val="0"/>
          <w:sz w:val="20"/>
        </w:rPr>
        <w:t>Resolución HCU N.º 032/2025 y resoluciones HCF N.º 1057/2026 y N.º 1126/2026.</w:t>
      </w:r>
    </w:p>
    <w:p>
      <w:pPr>
        <w:numPr>
          <w:ilvl w:val="0"/>
          <w:numId w:val="902"/>
        </w:numPr>
        <w:spacing w:before="0" w:after="160" w:line="240" w:lineRule="auto"/>
        <w:jc w:val="both"/>
      </w:pPr>
      <w:r>
        <w:rPr>
          <w:rFonts w:ascii="Century Gothic" w:hAnsi="Century Gothic" w:cs="Century Gothic" w:eastAsia="Century Gothic"/>
          <w:b w:val="0"/>
          <w:i w:val="0"/>
          <w:sz w:val="20"/>
        </w:rPr>
        <w:t>Diagnóstico de la Carrera, estudio de Ipsos CIESMORI y encuesta FODA del Instituto de Investigaciones.</w:t>
      </w:r>
    </w:p>
    <w:p>
      <w:pPr>
        <w:numPr>
          <w:ilvl w:val="0"/>
          <w:numId w:val="902"/>
        </w:numPr>
        <w:spacing w:before="0" w:after="160" w:line="240" w:lineRule="auto"/>
        <w:jc w:val="both"/>
      </w:pPr>
      <w:r>
        <w:rPr>
          <w:rFonts w:ascii="Century Gothic" w:hAnsi="Century Gothic" w:cs="Century Gothic" w:eastAsia="Century Gothic"/>
          <w:b w:val="0"/>
          <w:i w:val="0"/>
          <w:sz w:val="20"/>
        </w:rPr>
        <w:t>Visión, misión, objetivos y perfil profesional, y documento base del plan de estudios con la malla curricular.</w:t>
      </w:r>
    </w:p>
    <w:p>
      <w:pPr>
        <w:numPr>
          <w:ilvl w:val="0"/>
          <w:numId w:val="902"/>
        </w:numPr>
        <w:spacing w:before="0" w:after="160" w:line="240" w:lineRule="auto"/>
        <w:jc w:val="both"/>
      </w:pPr>
      <w:r>
        <w:rPr>
          <w:rFonts w:ascii="Century Gothic" w:hAnsi="Century Gothic" w:cs="Century Gothic" w:eastAsia="Century Gothic"/>
          <w:b w:val="0"/>
          <w:i w:val="0"/>
          <w:sz w:val="20"/>
        </w:rPr>
        <w:t>Plan de Estudios 2013 y planes de asignatura vigentes.</w:t>
      </w:r>
    </w:p>
    <w:p>
      <w:pPr>
        <w:numPr>
          <w:ilvl w:val="0"/>
          <w:numId w:val="902"/>
        </w:numPr>
        <w:spacing w:before="0" w:after="160" w:line="240" w:lineRule="auto"/>
        <w:jc w:val="both"/>
      </w:pPr>
      <w:r>
        <w:rPr>
          <w:rFonts w:ascii="Century Gothic" w:hAnsi="Century Gothic" w:cs="Century Gothic" w:eastAsia="Century Gothic"/>
          <w:b w:val="0"/>
          <w:i w:val="0"/>
          <w:sz w:val="20"/>
        </w:rPr>
        <w:t>Guía de llenado del itinerario formativo y formato de informe final por asignatura, para las subcomisiones académicas.</w:t>
      </w:r>
    </w:p>
    <w:p>
      <w:pPr>
        <w:numPr>
          <w:ilvl w:val="0"/>
          <w:numId w:val="902"/>
        </w:numPr>
        <w:spacing w:before="0" w:after="200" w:line="240" w:lineRule="auto"/>
        <w:jc w:val="both"/>
      </w:pPr>
      <w:r>
        <w:rPr>
          <w:rFonts w:ascii="Century Gothic" w:hAnsi="Century Gothic" w:cs="Century Gothic" w:eastAsia="Century Gothic"/>
          <w:b w:val="0"/>
          <w:i w:val="0"/>
          <w:sz w:val="20"/>
        </w:rPr>
        <w:t>Índice de los 16 puntos del Artículo 8 con la asignación de responsables, para las subcomisiones administrativas.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Reunión de inducción a las subcomisiones</w:t>
      </w:r>
    </w:p>
    <w:p>
      <w:pPr>
        <w:spacing w:before="0" w:after="200" w:line="240" w:lineRule="auto"/>
        <w:jc w:val="both"/>
      </w:pPr>
      <w:r>
        <w:rPr>
          <w:rFonts w:ascii="Century Gothic" w:hAnsi="Century Gothic" w:cs="Century Gothic" w:eastAsia="Century Gothic"/>
          <w:b w:val="0"/>
          <w:i w:val="0"/>
          <w:sz w:val="20"/>
        </w:rPr>
        <w:t>La Comisión Académica realizó una reunión de inducción para los docentes y estudiantes de las subcomisiones, con la participación del Secretario Académico de la UMSA. En ella se explicaron el enfoque por competencias del Modelo Educativo de la UMSA, la estructura del plan de asignatura con su unidad y elementos de competencia, criterios y evidencias de desempeño, de producto y de conocimiento, y el formato y los plazos de entrega de los informes.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Trabajo conjunto de las subcomisiones académicas</w:t>
      </w:r>
    </w:p>
    <w:p>
      <w:pPr>
        <w:spacing w:before="0" w:after="200" w:line="240" w:lineRule="auto"/>
        <w:jc w:val="both"/>
      </w:pPr>
      <w:r>
        <w:rPr>
          <w:rFonts w:ascii="Century Gothic" w:hAnsi="Century Gothic" w:cs="Century Gothic" w:eastAsia="Century Gothic"/>
          <w:b w:val="0"/>
          <w:i w:val="0"/>
          <w:sz w:val="20"/>
        </w:rPr>
        <w:t>Las nueve subcomisiones académicas trabajaron de manera conjunta los días jueves y viernes, con el acompañamiento de la Comisión Académica, en la elaboración de los planes de las 43 asignaturas por área de conocimiento: Información Financiera General, Información Financiera Especializada, Servicios de Aseguramiento y No Aseguramiento, Sistemas, Administración, Derecho, Economía, Metodología de la Investigación y Matemática. El trabajo conjunto permitió articular los planes entre áreas y años, y asegurar la coherencia de cada unidad de competencia con el perfil profesional.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2.8</w:t>
        <w:tab/>
      </w:r>
      <w:r>
        <w:rPr>
          <w:rFonts w:ascii="Century Gothic" w:hAnsi="Century Gothic" w:cs="Century Gothic" w:eastAsia="Century Gothic"/>
          <w:b/>
          <w:i w:val="0"/>
          <w:sz w:val="24"/>
        </w:rPr>
        <w:t>Recepción de informes de las subcomisiones</w:t>
      </w:r>
    </w:p>
    <w:p>
      <w:pPr>
        <w:spacing w:before="0" w:after="200" w:line="240" w:lineRule="auto"/>
        <w:jc w:val="both"/>
      </w:pPr>
      <w:r>
        <w:rPr>
          <w:rFonts w:ascii="Century Gothic" w:hAnsi="Century Gothic" w:cs="Century Gothic" w:eastAsia="Century Gothic"/>
          <w:b w:val="0"/>
          <w:i w:val="0"/>
          <w:sz w:val="20"/>
        </w:rPr>
        <w:t>La Comisión Académica recibió en forma escrita y digital los informes de las subcomisiones administrativas, con el desarrollo de los puntos de la estructura del Artículo 8 que les fueron asignados, y de las subcomisiones académicas, con los 43 planes de asignatura y un informe final por asignatura. El control de entregas registró cada punto y subpunto con su responsable docente y estudiantil, su fecha de recepción y su estado.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2.9</w:t>
        <w:tab/>
      </w:r>
      <w:r>
        <w:rPr>
          <w:rFonts w:ascii="Century Gothic" w:hAnsi="Century Gothic" w:cs="Century Gothic" w:eastAsia="Century Gothic"/>
          <w:b/>
          <w:i w:val="0"/>
          <w:sz w:val="24"/>
        </w:rPr>
        <w:t>Análisis, revisión y aprobación de los informes</w:t>
      </w:r>
    </w:p>
    <w:p>
      <w:pPr>
        <w:spacing w:before="0" w:after="200" w:line="240" w:lineRule="auto"/>
        <w:jc w:val="both"/>
      </w:pPr>
      <w:r>
        <w:rPr>
          <w:rFonts w:ascii="Century Gothic" w:hAnsi="Century Gothic" w:cs="Century Gothic" w:eastAsia="Century Gothic"/>
          <w:b w:val="0"/>
          <w:i w:val="0"/>
          <w:sz w:val="20"/>
        </w:rPr>
        <w:t>La Comisión Académica analizó y revisó en plenaria los informes recibidos frente a los requisitos de la Resolución HCU N.º 032/2025, en tres niveles:</w:t>
      </w:r>
    </w:p>
    <w:p>
      <w:pPr>
        <w:numPr>
          <w:ilvl w:val="0"/>
          <w:numId w:val="903"/>
        </w:numPr>
        <w:spacing w:before="0" w:after="160" w:line="240" w:lineRule="auto"/>
        <w:jc w:val="both"/>
      </w:pPr>
      <w:r>
        <w:rPr>
          <w:rFonts w:ascii="Century Gothic" w:hAnsi="Century Gothic" w:cs="Century Gothic" w:eastAsia="Century Gothic"/>
          <w:b/>
          <w:i w:val="0"/>
          <w:sz w:val="20"/>
        </w:rPr>
        <w:t>Informes de las subcomisiones administrativas.</w:t>
      </w:r>
      <w:r>
        <w:rPr>
          <w:rFonts w:ascii="Century Gothic" w:hAnsi="Century Gothic" w:cs="Century Gothic" w:eastAsia="Century Gothic"/>
          <w:b w:val="0"/>
          <w:i w:val="0"/>
          <w:sz w:val="20"/>
        </w:rPr>
        <w:t xml:space="preserve"> Se revisaron 22 documentos y se verificaron 124 requisitos del reglamento, además de la coherencia entre puntos, con 100 observaciones clasificadas por prioridad. El resultado se consolidó en un informe de observaciones y recomendaciones, que se devolvió a las subcomisiones para su corrección.</w:t>
      </w:r>
    </w:p>
    <w:p>
      <w:pPr>
        <w:numPr>
          <w:ilvl w:val="0"/>
          <w:numId w:val="903"/>
        </w:numPr>
        <w:spacing w:before="0" w:after="160" w:line="240" w:lineRule="auto"/>
        <w:jc w:val="both"/>
      </w:pPr>
      <w:r>
        <w:rPr>
          <w:rFonts w:ascii="Century Gothic" w:hAnsi="Century Gothic" w:cs="Century Gothic" w:eastAsia="Century Gothic"/>
          <w:b/>
          <w:i w:val="0"/>
          <w:sz w:val="20"/>
        </w:rPr>
        <w:t>Informes de las subcomisiones académicas.</w:t>
      </w:r>
      <w:r>
        <w:rPr>
          <w:rFonts w:ascii="Century Gothic" w:hAnsi="Century Gothic" w:cs="Century Gothic" w:eastAsia="Century Gothic"/>
          <w:b w:val="0"/>
          <w:i w:val="0"/>
          <w:sz w:val="20"/>
        </w:rPr>
        <w:t xml:space="preserve"> Cada uno de los 43 planes se revisó frente a la guía de llenado y al Artículo 12 del reglamento. Las observaciones se registraron en una matriz de cumplimiento y en un informe de correcciones por asignatura, entregado a cada subcomisión.</w:t>
      </w:r>
    </w:p>
    <w:p>
      <w:pPr>
        <w:numPr>
          <w:ilvl w:val="0"/>
          <w:numId w:val="903"/>
        </w:numPr>
        <w:spacing w:before="0" w:after="200" w:line="240" w:lineRule="auto"/>
        <w:jc w:val="both"/>
      </w:pPr>
      <w:r>
        <w:rPr>
          <w:rFonts w:ascii="Century Gothic" w:hAnsi="Century Gothic" w:cs="Century Gothic" w:eastAsia="Century Gothic"/>
          <w:b/>
          <w:i w:val="0"/>
          <w:sz w:val="20"/>
        </w:rPr>
        <w:t>Documento consolidado.</w:t>
      </w:r>
      <w:r>
        <w:rPr>
          <w:rFonts w:ascii="Century Gothic" w:hAnsi="Century Gothic" w:cs="Century Gothic" w:eastAsia="Century Gothic"/>
          <w:b w:val="0"/>
          <w:i w:val="0"/>
          <w:sz w:val="20"/>
        </w:rPr>
        <w:t xml:space="preserve"> La primera versión consolidada se evaluó con los criterios del Artículo 12 y obtuvo 78 sobre 100. Para cerrar las brechas, la Comisión analizó un conjunto de propuestas de incorporación por punto y aprobó las que fortalecían el cumplimiento del reglamento.</w:t>
      </w:r>
    </w:p>
    <w:p>
      <w:pPr>
        <w:spacing w:before="0" w:after="200" w:line="240" w:lineRule="auto"/>
        <w:jc w:val="both"/>
      </w:pPr>
      <w:r>
        <w:rPr>
          <w:rFonts w:ascii="Century Gothic" w:hAnsi="Century Gothic" w:cs="Century Gothic" w:eastAsia="Century Gothic"/>
          <w:b w:val="0"/>
          <w:i w:val="0"/>
          <w:sz w:val="20"/>
        </w:rPr>
        <w:t>Subsanadas las observaciones, la plenaria de Comisión aprobó los informes de las subcomisiones y las propuestas de incorporación. Las decisiones principales se presentan en el Anexo 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2.10</w:t>
        <w:tab/>
      </w:r>
      <w:r>
        <w:rPr>
          <w:rFonts w:ascii="Century Gothic" w:hAnsi="Century Gothic" w:cs="Century Gothic" w:eastAsia="Century Gothic"/>
          <w:b/>
          <w:i w:val="0"/>
          <w:sz w:val="24"/>
        </w:rPr>
        <w:t>Consolidación y emisión del documento final del Rediseño Curricular</w:t>
      </w:r>
    </w:p>
    <w:p>
      <w:pPr>
        <w:spacing w:before="0" w:after="200" w:line="240" w:lineRule="auto"/>
        <w:jc w:val="both"/>
      </w:pPr>
      <w:r>
        <w:rPr>
          <w:rFonts w:ascii="Century Gothic" w:hAnsi="Century Gothic" w:cs="Century Gothic" w:eastAsia="Century Gothic"/>
          <w:b w:val="0"/>
          <w:i w:val="0"/>
          <w:sz w:val="20"/>
        </w:rPr>
        <w:t>Con los informes aprobados, la Comisión Académica, por medio de sus secretarios, consolidó el documento final del Rediseño Curricular de la Licenciatura en Contaduría Pública, cuya aplicación inicia en la gestión 2027. El documento desarrolla los 16 puntos de la estructura del Artículo 8, integra los planes de las 43 asignaturas y cuenta con índice general e índice de cuadros. En la consolidación se aseguraron:</w:t>
      </w:r>
    </w:p>
    <w:p>
      <w:pPr>
        <w:numPr>
          <w:ilvl w:val="0"/>
          <w:numId w:val="904"/>
        </w:numPr>
        <w:spacing w:before="0" w:after="160" w:line="240" w:lineRule="auto"/>
        <w:jc w:val="both"/>
      </w:pPr>
      <w:r>
        <w:rPr>
          <w:rFonts w:ascii="Century Gothic" w:hAnsi="Century Gothic" w:cs="Century Gothic" w:eastAsia="Century Gothic"/>
          <w:b w:val="0"/>
          <w:i w:val="0"/>
          <w:sz w:val="20"/>
        </w:rPr>
        <w:t>La terminología uniforme en todo el documento: Rediseño Curricular, Área Contable y de Auditoría, Área Contextual y Contador Público.</w:t>
      </w:r>
    </w:p>
    <w:p>
      <w:pPr>
        <w:numPr>
          <w:ilvl w:val="0"/>
          <w:numId w:val="904"/>
        </w:numPr>
        <w:spacing w:before="0" w:after="160" w:line="240" w:lineRule="auto"/>
        <w:jc w:val="both"/>
      </w:pPr>
      <w:r>
        <w:rPr>
          <w:rFonts w:ascii="Century Gothic" w:hAnsi="Century Gothic" w:cs="Century Gothic" w:eastAsia="Century Gothic"/>
          <w:b w:val="0"/>
          <w:i w:val="0"/>
          <w:sz w:val="20"/>
        </w:rPr>
        <w:t>La denominación de los grados y títulos conforme al Reglamento de Modalidades de Graduación de la Carrera.</w:t>
      </w:r>
    </w:p>
    <w:p>
      <w:pPr>
        <w:numPr>
          <w:ilvl w:val="0"/>
          <w:numId w:val="904"/>
        </w:numPr>
        <w:spacing w:before="0" w:after="160" w:line="240" w:lineRule="auto"/>
        <w:jc w:val="both"/>
      </w:pPr>
      <w:r>
        <w:rPr>
          <w:rFonts w:ascii="Century Gothic" w:hAnsi="Century Gothic" w:cs="Century Gothic" w:eastAsia="Century Gothic"/>
          <w:b w:val="0"/>
          <w:i w:val="0"/>
          <w:sz w:val="20"/>
        </w:rPr>
        <w:t>La coherencia de nombres, siglas, prerrequisitos, horas y créditos entre la malla curricular y los 43 planes de asignatura.</w:t>
      </w:r>
    </w:p>
    <w:p>
      <w:pPr>
        <w:numPr>
          <w:ilvl w:val="0"/>
          <w:numId w:val="904"/>
        </w:numPr>
        <w:spacing w:before="0" w:after="200" w:line="240" w:lineRule="auto"/>
        <w:jc w:val="both"/>
      </w:pPr>
      <w:r>
        <w:rPr>
          <w:rFonts w:ascii="Century Gothic" w:hAnsi="Century Gothic" w:cs="Century Gothic" w:eastAsia="Century Gothic"/>
          <w:b w:val="0"/>
          <w:i w:val="0"/>
          <w:sz w:val="20"/>
        </w:rPr>
        <w:t>La actualización de los datos estadísticos a la gestión 2026 y de la infraestructura al relevamiento de octubre de 2026.</w:t>
      </w:r>
    </w:p>
    <w:p>
      <w:pPr>
        <w:spacing w:before="0" w:after="200" w:line="240" w:lineRule="auto"/>
        <w:jc w:val="both"/>
      </w:pPr>
      <w:r>
        <w:rPr>
          <w:rFonts w:ascii="Century Gothic" w:hAnsi="Century Gothic" w:cs="Century Gothic" w:eastAsia="Century Gothic"/>
          <w:b w:val="0"/>
          <w:i w:val="0"/>
          <w:sz w:val="20"/>
        </w:rPr>
        <w:t>La evaluación final del documento con los criterios del Artículo 12 alcanzó 92 sobre 100. Sus características principales y el cuadro comparativo con el Plan de Estudios 2013, que el Artículo 13 exige como documento de verificación, se presentan en los Anexos 7 y 8.</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3.</w:t>
        <w:tab/>
      </w:r>
      <w:r>
        <w:rPr>
          <w:rFonts w:ascii="Century Gothic" w:hAnsi="Century Gothic" w:cs="Century Gothic" w:eastAsia="Century Gothic"/>
          <w:b/>
          <w:i w:val="0"/>
          <w:sz w:val="24"/>
        </w:rPr>
        <w:t>Conclusión</w:t>
      </w:r>
    </w:p>
    <w:p>
      <w:pPr>
        <w:spacing w:before="0" w:after="200" w:line="240" w:lineRule="auto"/>
        <w:jc w:val="both"/>
      </w:pPr>
      <w:r>
        <w:rPr>
          <w:rFonts w:ascii="Century Gothic" w:hAnsi="Century Gothic" w:cs="Century Gothic" w:eastAsia="Century Gothic"/>
          <w:b w:val="0"/>
          <w:i w:val="0"/>
          <w:sz w:val="20"/>
        </w:rPr>
        <w:t>La Comisión Académica ha concluido en todas sus etapas, en fecha 19 de octubre de 2026, la tarea encomendada por la Asamblea Docente Estudiantil, en función de lo requerido por la Resolución HCU N.º 032/2025, con el desarrollo de los 16 puntos de la estructura del plan de estudios establecida en su Artículo 8.</w:t>
      </w:r>
    </w:p>
    <w:p>
      <w:pPr>
        <w:spacing w:before="0" w:after="200" w:line="240" w:lineRule="auto"/>
        <w:jc w:val="both"/>
      </w:pPr>
      <w:r>
        <w:rPr>
          <w:rFonts w:ascii="Century Gothic" w:hAnsi="Century Gothic" w:cs="Century Gothic" w:eastAsia="Century Gothic"/>
          <w:b w:val="0"/>
          <w:i w:val="0"/>
          <w:sz w:val="20"/>
        </w:rPr>
        <w:t>En consecuencia, conforme al Artículo 15, parágrafo II, numerales 4 y 5, del reglamento, la Comisión Académica presenta el documento final del Rediseño Curricular y el presente informe al Honorable Consejo de Carrera para su revisión y su remisión, por medio de la Dirección de Carrera, a Vicerrectorado, a fin de que Secretaría Académica y el Departamento de Evaluación y Acreditación efectúen la evaluación ex ante.</w:t>
      </w:r>
    </w:p>
    <w:p>
      <w:pPr>
        <w:spacing w:before="0" w:after="200" w:line="240" w:lineRule="auto"/>
        <w:jc w:val="both"/>
      </w:pPr>
      <w:r>
        <w:rPr>
          <w:rFonts w:ascii="Century Gothic" w:hAnsi="Century Gothic" w:cs="Century Gothic" w:eastAsia="Century Gothic"/>
          <w:b w:val="0"/>
          <w:i w:val="0"/>
          <w:sz w:val="20"/>
        </w:rPr>
        <w:t>Es cuanto informamos para fines consiguientes.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02"/>
        <w:gridCol w:w="4702"/>
      </w:tblGrid>
      <w:tr>
        <w:trPr>
          <w:cantSplit/>
        </w:trPr>
        <w:tc>
          <w:tcPr>
            <w:tcW w:type="dxa" w:w="4535"/>
            <w:gridSpan w:val="2"/>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rPr>
              <w:t>MSc. René Mejía Flores</w:t>
            </w:r>
          </w:p>
          <w:p>
            <w:pPr>
              <w:spacing w:after="0"/>
              <w:jc w:val="center"/>
            </w:pPr>
            <w:r>
              <w:rPr>
                <w:rFonts w:ascii="Century Gothic" w:hAnsi="Century Gothic" w:eastAsia="Century Gothic"/>
                <w:b w:val="0"/>
                <w:sz w:val="18"/>
              </w:rPr>
              <w:t>Director de Carrera</w:t>
            </w:r>
          </w:p>
          <w:p>
            <w:pPr>
              <w:spacing w:after="0"/>
              <w:jc w:val="center"/>
            </w:pPr>
            <w:r>
              <w:rPr>
                <w:rFonts w:ascii="Century Gothic" w:hAnsi="Century Gothic" w:eastAsia="Century Gothic"/>
                <w:b w:val="0"/>
                <w:sz w:val="18"/>
              </w:rPr>
              <w:t>Presidente de la Comisión Académica</w:t>
            </w:r>
          </w:p>
        </w:tc>
      </w:tr>
      <w:tr>
        <w:trPr>
          <w:cantSplit/>
        </w:trPr>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Secretario docente</w:t>
            </w:r>
          </w:p>
        </w:tc>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Secretario estudiantil</w:t>
            </w:r>
          </w:p>
        </w:tc>
      </w:tr>
      <w:tr>
        <w:trPr>
          <w:cantSplit/>
        </w:trPr>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Docente, miembro</w:t>
            </w:r>
          </w:p>
        </w:tc>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Estudiante, miembro</w:t>
            </w:r>
          </w:p>
        </w:tc>
      </w:tr>
      <w:tr>
        <w:trPr>
          <w:cantSplit/>
        </w:trPr>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Docente, miembro</w:t>
            </w:r>
          </w:p>
        </w:tc>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Estudiante, miembro</w:t>
            </w:r>
          </w:p>
        </w:tc>
      </w:tr>
      <w:tr>
        <w:trPr>
          <w:cantSplit/>
        </w:trPr>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Docente, miembro</w:t>
            </w:r>
          </w:p>
        </w:tc>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Estudiante, miembro</w:t>
            </w:r>
          </w:p>
        </w:tc>
      </w:tr>
      <w:tr>
        <w:trPr>
          <w:cantSplit/>
        </w:trPr>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Docente, miembro</w:t>
            </w:r>
          </w:p>
        </w:tc>
        <w:tc>
          <w:tcPr>
            <w:tcW w:type="dxa" w:w="4535"/>
          </w:tcPr>
          <w:p>
            <w:pPr>
              <w:spacing w:before="520" w:after="0"/>
              <w:jc w:val="center"/>
            </w:pPr>
            <w:r>
              <w:rPr>
                <w:rFonts w:ascii="Century Gothic" w:hAnsi="Century Gothic" w:eastAsia="Century Gothic"/>
                <w:b w:val="0"/>
                <w:sz w:val="18"/>
              </w:rPr>
              <w:t>_______________________________</w:t>
            </w:r>
          </w:p>
          <w:p>
            <w:pPr>
              <w:spacing w:after="0"/>
              <w:jc w:val="center"/>
            </w:pPr>
            <w:r>
              <w:rPr>
                <w:rFonts w:ascii="Century Gothic" w:hAnsi="Century Gothic" w:eastAsia="Century Gothic"/>
                <w:b/>
                <w:sz w:val="18"/>
                <w:highlight w:val="yellow"/>
              </w:rPr>
              <w:t>(completar)</w:t>
            </w:r>
          </w:p>
          <w:p>
            <w:pPr>
              <w:spacing w:after="0"/>
              <w:jc w:val="center"/>
            </w:pPr>
            <w:r>
              <w:rPr>
                <w:rFonts w:ascii="Century Gothic" w:hAnsi="Century Gothic" w:eastAsia="Century Gothic"/>
                <w:b w:val="0"/>
                <w:sz w:val="18"/>
              </w:rPr>
              <w:t>Estudiante, miembro</w:t>
            </w:r>
          </w:p>
        </w:tc>
      </w:tr>
    </w:tbl>
    <w:p>
      <w:r>
        <w:br w:type="page"/>
      </w:r>
    </w:p>
    <w:p>
      <w:pPr>
        <w:keepNext/>
        <w:spacing w:before="160" w:after="200" w:line="240" w:lineRule="auto"/>
        <w:jc w:val="left"/>
      </w:pPr>
      <w:r>
        <w:rPr>
          <w:rFonts w:ascii="Century Gothic" w:hAnsi="Century Gothic" w:cs="Century Gothic" w:eastAsia="Century Gothic"/>
          <w:b/>
          <w:i w:val="0"/>
          <w:sz w:val="24"/>
        </w:rPr>
        <w:t>Anexos</w:t>
      </w:r>
    </w:p>
    <w:p>
      <w:pPr>
        <w:keepNext/>
        <w:spacing w:before="120" w:after="200" w:line="240" w:lineRule="auto"/>
        <w:jc w:val="left"/>
      </w:pPr>
      <w:r>
        <w:rPr>
          <w:rFonts w:ascii="Century Gothic" w:hAnsi="Century Gothic" w:cs="Century Gothic" w:eastAsia="Century Gothic"/>
          <w:b/>
          <w:i w:val="0"/>
          <w:sz w:val="24"/>
        </w:rPr>
        <w:t>Anexo 1. Normativa aplicada</w:t>
      </w:r>
    </w:p>
    <w:tbl>
      <w:tblPr>
        <w:tblW w:type="auto" w:w="0"/>
        <w:jc w:val="center"/>
        <w:tblLayout w:type="fixed"/>
        <w:tblLook w:firstColumn="1" w:firstRow="1" w:lastColumn="0" w:lastRow="0" w:noHBand="0" w:noVBand="1" w:val="04A0"/>
      </w:tblPr>
      <w:tblGrid>
        <w:gridCol w:w="3402"/>
        <w:gridCol w:w="5669"/>
      </w:tblGrid>
      <w:tr>
        <w:trPr>
          <w:tblHeader/>
        </w:trPr>
        <w:tc>
          <w:tcPr>
            <w:tcW w:type="dxa" w:w="3402"/>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Norma</w:t>
            </w:r>
          </w:p>
        </w:tc>
        <w:tc>
          <w:tcPr>
            <w:tcW w:type="dxa" w:w="5669"/>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Contenido aplicado</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HCU N.º 032/2025, Reglamento de Innovación Curricular</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Niveles de innovación (Artículos 4 a 7), estructura de 16 puntos (Artículo 8), criterios de calidad (Artículos 11 y 12), evidencia comparativa (Artículo 13), transitabilidad (Artículo 14) y procedimiento de aprobación (Artículo 15).</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N.º 07/2024 de la VI Conferencia Nacional Ordinaria de Universidades</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Ratifica las conclusiones de la III-XIII Reunión Sectorial de las Carreras de Contaduría Pública sobre el modelo del Contador Público Autorizado.</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Resoluciones HCC N.º 162/2012, HCF N.º 929/2012 y HCU N.º 025/2013</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Aprueban el Plan de Estudios 2013.</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HCU N.º 290/2016</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Denominación de Técnico Superior en Contabilidad General.</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HCU N.º 426/2024</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Salida intermedia de Técnico Universitario Medio en Contabilidad.</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HCF N.º 1013/2026</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Plan Estratégico Institucional de la Facultad 2026-2030, objetivo estratégico OE 1.3.</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HCF N.º 1057/2026</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Diagnóstico de la Carrera, Declaratoria de Necesidad de Rediseño Curricular y convocatoria a Asamblea Docente Estudiantil.</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HCF N.º 1126/2026</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Conformación de la Comisión Académica.</w:t>
            </w:r>
          </w:p>
        </w:tc>
      </w:tr>
      <w:tr>
        <w:tc>
          <w:tcPr>
            <w:tcW w:type="dxa" w:w="34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Reglamento General de Títulos y Grados del Sistema de la Universidad Boliviana</w:t>
            </w:r>
          </w:p>
        </w:tc>
        <w:tc>
          <w:tcPr>
            <w:tcW w:type="dxa" w:w="56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Carga máxima de 6.000 horas académicas para la licenciatura, Artículo 28.</w:t>
            </w:r>
          </w:p>
        </w:tc>
      </w:tr>
    </w:tbl>
    <w:p>
      <w:pPr>
        <w:spacing w:before="0" w:after="120" w:line="240" w:lineRule="auto"/>
        <w:jc w:val="left"/>
      </w:pPr>
    </w:p>
    <w:p>
      <w:pPr>
        <w:keepNext/>
        <w:spacing w:before="120" w:after="200" w:line="240" w:lineRule="auto"/>
        <w:jc w:val="left"/>
      </w:pPr>
      <w:r>
        <w:rPr>
          <w:rFonts w:ascii="Century Gothic" w:hAnsi="Century Gothic" w:cs="Century Gothic" w:eastAsia="Century Gothic"/>
          <w:b/>
          <w:i w:val="0"/>
          <w:sz w:val="24"/>
        </w:rPr>
        <w:t>Anexo 2. Integrantes de la Comisión Académica</w:t>
      </w:r>
    </w:p>
    <w:tbl>
      <w:tblPr>
        <w:tblW w:type="auto" w:w="0"/>
        <w:jc w:val="center"/>
        <w:tblLayout w:type="fixed"/>
        <w:tblLook w:firstColumn="1" w:firstRow="1" w:lastColumn="0" w:lastRow="0" w:noHBand="0" w:noVBand="1" w:val="04A0"/>
      </w:tblPr>
      <w:tblGrid>
        <w:gridCol w:w="2268"/>
        <w:gridCol w:w="3969"/>
        <w:gridCol w:w="2835"/>
      </w:tblGrid>
      <w:tr>
        <w:trPr>
          <w:tblHeader/>
        </w:trPr>
        <w:tc>
          <w:tcPr>
            <w:tcW w:type="dxa" w:w="2268"/>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Estamento</w:t>
            </w:r>
          </w:p>
        </w:tc>
        <w:tc>
          <w:tcPr>
            <w:tcW w:type="dxa" w:w="3969"/>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Nombre</w:t>
            </w:r>
          </w:p>
        </w:tc>
        <w:tc>
          <w:tcPr>
            <w:tcW w:type="dxa" w:w="2835"/>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Función</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Director de Carrera</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MSc. René Mejía Flores</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Presidente</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Docente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Secretario docente</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Docente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Docente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Docente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Docente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Estudiante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Secretario estudiantil</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Estudiante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Estudiante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Estudiante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r>
        <w:tc>
          <w:tcPr>
            <w:tcW w:type="dxa" w:w="226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Estudiante</w:t>
            </w:r>
          </w:p>
        </w:tc>
        <w:tc>
          <w:tcPr>
            <w:tcW w:type="dxa" w:w="3969"/>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283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Miembro</w:t>
            </w:r>
          </w:p>
        </w:tc>
      </w:tr>
    </w:tbl>
    <w:p>
      <w:pPr>
        <w:spacing w:before="40" w:after="200" w:line="240" w:lineRule="auto"/>
        <w:jc w:val="left"/>
      </w:pPr>
      <w:r>
        <w:rPr>
          <w:rFonts w:ascii="Century Gothic" w:hAnsi="Century Gothic" w:cs="Century Gothic" w:eastAsia="Century Gothic"/>
          <w:b w:val="0"/>
          <w:i w:val="0"/>
          <w:sz w:val="16"/>
        </w:rPr>
        <w:t>Fuente: Resolución HCF N.º 1126/2026.</w:t>
      </w:r>
    </w:p>
    <w:p>
      <w:pPr>
        <w:keepNext/>
        <w:spacing w:before="120" w:after="200" w:line="240" w:lineRule="auto"/>
        <w:jc w:val="left"/>
      </w:pPr>
      <w:r>
        <w:rPr>
          <w:rFonts w:ascii="Century Gothic" w:hAnsi="Century Gothic" w:cs="Century Gothic" w:eastAsia="Century Gothic"/>
          <w:b/>
          <w:i w:val="0"/>
          <w:sz w:val="24"/>
        </w:rPr>
        <w:t>Anexo 3. Cronología del proceso</w:t>
      </w:r>
    </w:p>
    <w:tbl>
      <w:tblPr>
        <w:tblW w:type="auto" w:w="0"/>
        <w:jc w:val="center"/>
        <w:tblLayout w:type="fixed"/>
        <w:tblLook w:firstColumn="1" w:firstRow="1" w:lastColumn="0" w:lastRow="0" w:noHBand="0" w:noVBand="1" w:val="04A0"/>
      </w:tblPr>
      <w:tblGrid>
        <w:gridCol w:w="1417"/>
        <w:gridCol w:w="5102"/>
        <w:gridCol w:w="2551"/>
      </w:tblGrid>
      <w:tr>
        <w:trPr>
          <w:tblHeader/>
        </w:trPr>
        <w:tc>
          <w:tcPr>
            <w:tcW w:type="dxa" w:w="1417"/>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Fecha</w:t>
            </w:r>
          </w:p>
        </w:tc>
        <w:tc>
          <w:tcPr>
            <w:tcW w:type="dxa" w:w="5102"/>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Etapa</w:t>
            </w:r>
          </w:p>
        </w:tc>
        <w:tc>
          <w:tcPr>
            <w:tcW w:type="dxa" w:w="2551"/>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Respaldo</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25/08/2026</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Aprobación del Diagnóstico y de la Declaratoria de Necesidad de Rediseño Curricular</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HCF N.º 1057/2026</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Asamblea Docente Estudiantil y elección de la Comisión Académica</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Asamblea</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10/09/2026</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Aprobación de la conformación de la Comisión Académica</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Resolución HCF N.º 1126/2026</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Instalación de la Comisión Académica y aprobación del plan de trabajo</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Comisión</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Diseño de la visión, misión, objetivos, perfil de la Carrera y perfil profesional</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Comisión</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Reunión informativa sobre la Resolución HCU N.º 032/2025</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reunión</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Socialización de la visión, misión, objetivos y perfiles; plazo para observaciones</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Comunicación de la Dirección de Carrera</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Entrega de documentación de respaldo a las subcomisiones</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reunión</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Reunión de inducción a las subcomisiones</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reunión</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Trabajo conjunto de las subcomisiones académicas, jueves y viernes</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Registro de asistencia</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13/10/2026</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Recepción de los informes de las subcomisiones administrativas</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Control de entregas</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Recepción de los informes de las subcomisiones académicas</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Control de entregas</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highlight w:val="yellow"/>
              </w:rPr>
              <w:t>(completar)</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Análisis, revisión y aprobación de los informes en plenaria de Comisión</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Acta de la Comisión</w:t>
            </w:r>
          </w:p>
        </w:tc>
      </w:tr>
      <w:tr>
        <w:tc>
          <w:tcPr>
            <w:tcW w:type="dxa" w:w="141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19/10/2026</w:t>
            </w:r>
          </w:p>
        </w:tc>
        <w:tc>
          <w:tcPr>
            <w:tcW w:type="dxa" w:w="5102"/>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Consolidación y emisión del documento final del Rediseño Curricular</w:t>
            </w:r>
          </w:p>
        </w:tc>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Documento final</w:t>
            </w:r>
          </w:p>
        </w:tc>
      </w:tr>
    </w:tbl>
    <w:p>
      <w:pPr>
        <w:spacing w:before="0" w:after="120" w:line="240" w:lineRule="auto"/>
        <w:jc w:val="left"/>
      </w:pPr>
    </w:p>
    <w:p>
      <w:pPr>
        <w:keepNext/>
        <w:spacing w:before="120" w:after="200" w:line="240" w:lineRule="auto"/>
        <w:jc w:val="left"/>
      </w:pPr>
      <w:r>
        <w:rPr>
          <w:rFonts w:ascii="Century Gothic" w:hAnsi="Century Gothic" w:cs="Century Gothic" w:eastAsia="Century Gothic"/>
          <w:b/>
          <w:i w:val="0"/>
          <w:sz w:val="24"/>
        </w:rPr>
        <w:t>Anexo 4. Subcomisiones académicas por área de conocimiento</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Subcomisión</w:t>
            </w:r>
          </w:p>
        </w:tc>
        <w:tc>
          <w:tcPr>
            <w:tcW w:type="dxa" w:w="3231"/>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Docentes</w:t>
            </w:r>
          </w:p>
        </w:tc>
        <w:tc>
          <w:tcPr>
            <w:tcW w:type="dxa" w:w="3231"/>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Estudiantes</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Información Financiera General</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Gonzalo Terán Gandarillas y Edwin Gutiérrez Zapana</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Jose David Huanca Callizaya y Elva Danitza Cachaga Alanoca</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Información Financiera Especializada</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Edith Esther López Mamani y Guido Rogelio Yujra Segales</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Leonardo Fabio Oblitas Flores y Marco Marcelo Escobar Bozo</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Servicios de Aseguramiento y No Aseguramiento</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Martin Calani y Víctor Delfín Pelaez Mariscal</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Valery Tatiana Chuquimia Rojas y Rocio del Alba Flores Colque</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Sistemas</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Juan Carlos Lea Plaza Lopez y Miguel Cotaña Mier</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Camila Pillco Yana y Jheferson Zambrana Barrionuevo</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Administración</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Juan Carlos Sánchez Bolaños y Orlando Alfato</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Luz Alejandra Chavez Conde y Nicol Tatiana Cornejo Choque</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Derecho</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Walter Marcelo Torrez Quispe y Ricardo Ramiro Tola Fernández</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Anthony Alexander Espinoza Gutierrez y Fernanda Camila Gonzales Quispe</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Economía</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Luis Medina Rivero y Juvenal Espejo Davalos</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Carla Isabel Huiza Callisaya y Jhamil Sander Quispe Mamani</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Metodología de la Investigación</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Sigfrido Ariel Burgoa Cortez y Jorge Cespedes Esteves</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Taiz Alejandra Cano Chuyma</w:t>
            </w:r>
          </w:p>
        </w:tc>
      </w:tr>
      <w:tr>
        <w:tc>
          <w:tcPr>
            <w:tcW w:type="dxa" w:w="2608"/>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Matemática</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Darío David Yujra Crespo y Domingo Julio Pérez Centellas</w:t>
            </w:r>
          </w:p>
        </w:tc>
        <w:tc>
          <w:tcPr>
            <w:tcW w:type="dxa" w:w="323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Eileen Juarez Flores y Jaime Andres Patty Lazcano</w:t>
            </w:r>
          </w:p>
        </w:tc>
      </w:tr>
    </w:tbl>
    <w:p>
      <w:pPr>
        <w:spacing w:before="40" w:after="200" w:line="240" w:lineRule="auto"/>
        <w:jc w:val="left"/>
      </w:pPr>
      <w:r>
        <w:rPr>
          <w:rFonts w:ascii="Century Gothic" w:hAnsi="Century Gothic" w:cs="Century Gothic" w:eastAsia="Century Gothic"/>
          <w:b w:val="0"/>
          <w:i w:val="0"/>
          <w:sz w:val="16"/>
        </w:rPr>
        <w:t>Fuente: control de entregas de las subcomisiones.</w:t>
      </w:r>
    </w:p>
    <w:p>
      <w:pPr>
        <w:keepNext/>
        <w:spacing w:before="120" w:after="200" w:line="240" w:lineRule="auto"/>
        <w:jc w:val="left"/>
      </w:pPr>
      <w:r>
        <w:rPr>
          <w:rFonts w:ascii="Century Gothic" w:hAnsi="Century Gothic" w:cs="Century Gothic" w:eastAsia="Century Gothic"/>
          <w:b/>
          <w:i w:val="0"/>
          <w:sz w:val="24"/>
        </w:rPr>
        <w:t>Anexo 5. Subcomisiones administrativas por punto</w:t>
      </w:r>
    </w:p>
    <w:tbl>
      <w:tblPr>
        <w:tblW w:type="auto" w:w="0"/>
        <w:jc w:val="center"/>
        <w:tblLayout w:type="fixed"/>
        <w:tblLook w:firstColumn="1" w:firstRow="1" w:lastColumn="0" w:lastRow="0" w:noHBand="0" w:noVBand="1" w:val="04A0"/>
      </w:tblPr>
      <w:tblGrid>
        <w:gridCol w:w="1247"/>
        <w:gridCol w:w="3175"/>
        <w:gridCol w:w="2324"/>
        <w:gridCol w:w="2324"/>
      </w:tblGrid>
      <w:tr>
        <w:trPr>
          <w:tblHeader/>
        </w:trPr>
        <w:tc>
          <w:tcPr>
            <w:tcW w:type="dxa" w:w="1247"/>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Punto</w:t>
            </w:r>
          </w:p>
        </w:tc>
        <w:tc>
          <w:tcPr>
            <w:tcW w:type="dxa" w:w="3175"/>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Contenido</w:t>
            </w:r>
          </w:p>
        </w:tc>
        <w:tc>
          <w:tcPr>
            <w:tcW w:type="dxa" w:w="2324"/>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Responsable docente</w:t>
            </w:r>
          </w:p>
        </w:tc>
        <w:tc>
          <w:tcPr>
            <w:tcW w:type="dxa" w:w="2324"/>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Responsable estudiantil</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Identificación del programa/carrera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Edwin Gutiérrez Zapana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Alarcon Pablo Alejandro</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2</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Antecedentes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Comisión Académica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Comisión Académica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3.1 a 3.3</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Resultados del plan anterior, políticas y normas, contexto y mercado laboral</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Alberto Mendoza Mendoza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Ayrton Javier Quisbert Fernandez</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3.4 y 3.5</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Ciencia y tecnología, oferta curricular nacional e internacional</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Humberto Quintanilla Muñoz</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Beymar Adalid Paucara Marquez</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4.1.1 y 4.1.2</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Fundamentos epistemológicos y sociológicos antropológicos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Freddy Huanca Mamani</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Katherin Fabiola Ali Quispe</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4.1.3 a 4.1.5</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Fundamentos psicológicos, educativos y axiológicos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Jorge Cespedes Esteves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Taiz Alejandra Cano Chuyma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4.2</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Referentes disciplinares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Hinojosa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Melany Sarah Chavez Condori</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4.3.1 y 4.3.2</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Modelo curricular y principios del modelo</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Mendoza Elias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Gisela Leila Fernandez Cazas</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4.3.3 a 4.3.5</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Objetivos del rediseño y duración de la Carrera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Madeny</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Melisa Canaviri</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4.4 y 8</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Estructura curricular y organización del proceso curricular</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Comisión Académica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Comisión Académica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4.6 a 4.8</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Estrategias de aprendizaje y enseñanza, evaluación y prácticas preprofesionales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Comisión Académica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Comisión Académica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5.1 y 5.2</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Perfil del postulante y modalidades de admisión</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Daniel Laura Choque</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Sandra Alison Maidana Mamani</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5.3 y 5.4</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Permanencia y modalidades de graduación</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Jorge Ordoñez Oporto</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Josue Pilco Tito</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6</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Investigación</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Jorge Cespedes Esteves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Gustavo Adolfo Aguilar Huanca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7</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Interacción social y extensión universitaria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Edith Esther López Mamani</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Analia Calle Mita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9</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Material bibliográfico</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Demetrio Ancalle Choque</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Wendy Callizaya Pocoaca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10</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Recursos educativos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Miguel Cotaña Mier</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Camila Lampa Choque</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11</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Implementación del proyecto curricular</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Daniel Laura Choque</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Nazareth Samia Espejo Ticonipa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12</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Evaluación curricular</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Luis Enrique Hinojosa Rodríguez</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Camila Nicol Zuñiga Estrada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13</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Reglamentación</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Esperanza Mejillones Rodriguez</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Camila Andrea Quispe Mollocuaquira</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14</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Infraestructura y equipamiento</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Juvenal Espejo</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Ruth Sarai Arriague Gonzales</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15</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Mobiliario, equipamiento y materiales</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Hernan Alvarado</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Angeles Iraya Mendoza Gutierrez</w:t>
            </w:r>
          </w:p>
        </w:tc>
      </w:tr>
      <w:tr>
        <w:tc>
          <w:tcPr>
            <w:tcW w:type="dxa" w:w="124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16</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Disposiciones de ejecución</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Edwin Gutiérrez Zapana</w:t>
            </w:r>
          </w:p>
        </w:tc>
        <w:tc>
          <w:tcPr>
            <w:tcW w:type="dxa" w:w="232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Adhemar Carlos Palacios Choque</w:t>
            </w:r>
          </w:p>
        </w:tc>
      </w:tr>
    </w:tbl>
    <w:p>
      <w:pPr>
        <w:spacing w:before="40" w:after="200" w:line="240" w:lineRule="auto"/>
        <w:jc w:val="left"/>
      </w:pPr>
      <w:r>
        <w:rPr>
          <w:rFonts w:ascii="Century Gothic" w:hAnsi="Century Gothic" w:cs="Century Gothic" w:eastAsia="Century Gothic"/>
          <w:b w:val="0"/>
          <w:i w:val="0"/>
          <w:sz w:val="16"/>
        </w:rPr>
        <w:t>Fuente: control de entregas de las subcomisiones.</w:t>
      </w:r>
    </w:p>
    <w:p>
      <w:pPr>
        <w:keepNext/>
        <w:spacing w:before="120" w:after="200" w:line="240" w:lineRule="auto"/>
        <w:jc w:val="left"/>
      </w:pPr>
      <w:r>
        <w:rPr>
          <w:rFonts w:ascii="Century Gothic" w:hAnsi="Century Gothic" w:cs="Century Gothic" w:eastAsia="Century Gothic"/>
          <w:b/>
          <w:i w:val="0"/>
          <w:sz w:val="24"/>
        </w:rPr>
        <w:t>Anexo 6. Decisiones de la plenaria de Comisión sobre las propuestas de incorporación</w:t>
      </w:r>
    </w:p>
    <w:tbl>
      <w:tblPr>
        <w:tblW w:type="auto" w:w="0"/>
        <w:jc w:val="center"/>
        <w:tblLayout w:type="fixed"/>
        <w:tblLook w:firstColumn="1" w:firstRow="1" w:lastColumn="0" w:lastRow="0" w:noHBand="0" w:noVBand="1" w:val="04A0"/>
      </w:tblPr>
      <w:tblGrid>
        <w:gridCol w:w="1814"/>
        <w:gridCol w:w="7257"/>
      </w:tblGrid>
      <w:tr>
        <w:trPr>
          <w:tblHeader/>
        </w:trPr>
        <w:tc>
          <w:tcPr>
            <w:tcW w:type="dxa" w:w="1814"/>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Punto</w:t>
            </w:r>
          </w:p>
        </w:tc>
        <w:tc>
          <w:tcPr>
            <w:tcW w:type="dxa" w:w="7257"/>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Decisión</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3.1.4</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Detallar las asignaturas del Plan 2013 que se suprimen, transforman o reubican, y denominar CPA-403 Contabilidad de Seguros: Privado y Público en todo el documento.</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3.5.2</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Comparar el Rediseño Curricular con la oferta de Contaduría Pública de seis universidades públicas y privadas del país.</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4.1.4, 4.1.5 y 4.2.7</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Explicitar la concordancia con el Modelo Educativo de la UMSA y la correspondencia del perfil profesional con la misión de la UMSA.</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4.3.5</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Justificar técnica y normativamente la adopción del régimen anualizado.</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4.4.1 y 4.4.2</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Establecer el idioma inglés nivel B2 como requisito de egreso y presentar las 43 unidades de competencia de los planes de asignatura.</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5.3.2 y 5.4.4</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Precisar los plazos de suspensión y reincorporación, y la sigla, carga horaria y créditos de cada modalidad de graduación.</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6.1.4</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Incorporar los auxiliares de investigación, la Sociedad Científica y la revista de la Carrera.</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8.6 y 11.1.1</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Recomendar un mínimo de 50 y un máximo de 80 estudiantes por paralelo.</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11.3.5</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Incorporar el presupuesto plurianual de implementación 2027-2031.</w:t>
            </w:r>
          </w:p>
        </w:tc>
      </w:tr>
      <w:tr>
        <w:tc>
          <w:tcPr>
            <w:tcW w:type="dxa" w:w="1814"/>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13.1.4</w:t>
            </w:r>
          </w:p>
        </w:tc>
        <w:tc>
          <w:tcPr>
            <w:tcW w:type="dxa" w:w="7257"/>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Incorporar íntegro el Reglamento de Modalidades de Graduación de la Carrera.</w:t>
            </w:r>
          </w:p>
        </w:tc>
      </w:tr>
    </w:tbl>
    <w:p>
      <w:pPr>
        <w:spacing w:before="0" w:after="120" w:line="240" w:lineRule="auto"/>
        <w:jc w:val="left"/>
      </w:pPr>
    </w:p>
    <w:p>
      <w:pPr>
        <w:keepNext/>
        <w:spacing w:before="120" w:after="200" w:line="240" w:lineRule="auto"/>
        <w:jc w:val="left"/>
      </w:pPr>
      <w:r>
        <w:rPr>
          <w:rFonts w:ascii="Century Gothic" w:hAnsi="Century Gothic" w:cs="Century Gothic" w:eastAsia="Century Gothic"/>
          <w:b/>
          <w:i w:val="0"/>
          <w:sz w:val="24"/>
        </w:rPr>
        <w:t>Anexo 7. Características del Rediseño Curricular</w:t>
      </w:r>
    </w:p>
    <w:tbl>
      <w:tblPr>
        <w:tblW w:type="auto" w:w="0"/>
        <w:jc w:val="center"/>
        <w:tblLayout w:type="fixed"/>
        <w:tblLook w:firstColumn="1" w:firstRow="1" w:lastColumn="0" w:lastRow="0" w:noHBand="0" w:noVBand="1" w:val="04A0"/>
      </w:tblPr>
      <w:tblGrid>
        <w:gridCol w:w="2551"/>
        <w:gridCol w:w="6520"/>
      </w:tblGrid>
      <w:tr>
        <w:trPr>
          <w:tblHeader/>
        </w:trPr>
        <w:tc>
          <w:tcPr>
            <w:tcW w:type="dxa" w:w="2551"/>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Elemento</w:t>
            </w:r>
          </w:p>
        </w:tc>
        <w:tc>
          <w:tcPr>
            <w:tcW w:type="dxa" w:w="6520"/>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8"/>
              </w:rPr>
              <w:t>Rediseño Curricular</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Grado terminal</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Licenciatura en Contaduría Pública; título en provisión nacional de Contador Público Autorizado</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Grados intermedios</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Técnico Universitario Medio en Contabilidad, con título de Auxiliar Contable, y Técnico Superior en Contabilidad General, con título de Contador General</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Duración y régimen</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Cinco años, régimen anual</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Asignaturas</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43: 29 del Área Contable y de Auditoría y 14 del Área Contextual</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Carga horaria y créditos</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6.000 horas académicas presenciales, 3.000 horas no presenciales y 300 créditos, 60 por año</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Enfoque</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Formación por competencias, con mapa de competencias y planes de asignatura por unidad y elementos de competencia</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Prácticas preprofesionales</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Obligatorias desde el tercer año</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Idioma</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Inglés nivel B2 como requisito de egreso</w:t>
            </w:r>
          </w:p>
        </w:tc>
      </w:tr>
      <w:tr>
        <w:tc>
          <w:tcPr>
            <w:tcW w:type="dxa" w:w="255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Transitabilidad</w:t>
            </w:r>
          </w:p>
        </w:tc>
        <w:tc>
          <w:tcPr>
            <w:tcW w:type="dxa" w:w="6520"/>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8"/>
              </w:rPr>
              <w:t>Convalidación y homologación, implementación año por año desde 2027 y extinción progresiva del Plan 2013</w:t>
            </w:r>
          </w:p>
        </w:tc>
      </w:tr>
    </w:tbl>
    <w:p>
      <w:pPr>
        <w:spacing w:before="40" w:after="200" w:line="240" w:lineRule="auto"/>
        <w:jc w:val="left"/>
      </w:pPr>
      <w:r>
        <w:rPr>
          <w:rFonts w:ascii="Century Gothic" w:hAnsi="Century Gothic" w:cs="Century Gothic" w:eastAsia="Century Gothic"/>
          <w:b w:val="0"/>
          <w:i w:val="0"/>
          <w:sz w:val="16"/>
        </w:rPr>
        <w:t>Fuente: documento final del Rediseño Curricular, puntos 1, 4.3, 4.4, 5 y 16.</w:t>
      </w:r>
    </w:p>
    <w:p>
      <w:r>
        <w:br w:type="page"/>
      </w:r>
    </w:p>
    <w:p>
      <w:pPr>
        <w:keepNext/>
        <w:spacing w:before="120" w:after="200" w:line="240" w:lineRule="auto"/>
        <w:jc w:val="left"/>
      </w:pPr>
      <w:r>
        <w:rPr>
          <w:rFonts w:ascii="Century Gothic" w:hAnsi="Century Gothic" w:cs="Century Gothic" w:eastAsia="Century Gothic"/>
          <w:b/>
          <w:i w:val="0"/>
          <w:sz w:val="24"/>
        </w:rPr>
        <w:t>Anexo 8. Cuadro comparativo del Plan de Estudios 2013 y el Rediseño Curricular, Artículo 13</w:t>
      </w:r>
    </w:p>
    <w:tbl>
      <w:tblPr>
        <w:tblW w:type="auto" w:w="0"/>
        <w:jc w:val="center"/>
        <w:tblLayout w:type="fixed"/>
        <w:tblLook w:firstColumn="1" w:firstRow="1" w:lastColumn="0" w:lastRow="0" w:noHBand="0" w:noVBand="1" w:val="04A0"/>
      </w:tblPr>
      <w:tblGrid>
        <w:gridCol w:w="2041"/>
        <w:gridCol w:w="3175"/>
        <w:gridCol w:w="3855"/>
      </w:tblGrid>
      <w:tr>
        <w:trPr>
          <w:tblHeader/>
        </w:trPr>
        <w:tc>
          <w:tcPr>
            <w:tcW w:type="dxa" w:w="2041"/>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Aspecto</w:t>
            </w:r>
          </w:p>
        </w:tc>
        <w:tc>
          <w:tcPr>
            <w:tcW w:type="dxa" w:w="3175"/>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Plan de Estudios 2013</w:t>
            </w:r>
          </w:p>
        </w:tc>
        <w:tc>
          <w:tcPr>
            <w:tcW w:type="dxa" w:w="3855"/>
            <w:tcBorders>
              <w:top w:val="single" w:sz="4" w:space="0" w:color="808080"/>
              <w:left w:val="single" w:sz="4" w:space="0" w:color="808080"/>
              <w:bottom w:val="single" w:sz="4" w:space="0" w:color="808080"/>
              <w:right w:val="single" w:sz="4" w:space="0" w:color="808080"/>
            </w:tcBorders>
            <w:shd w:val="clear" w:color="auto" w:fill="D9D9D9"/>
            <w:vAlign w:val="center"/>
          </w:tcPr>
          <w:p>
            <w:pPr>
              <w:spacing w:before="0" w:after="0" w:line="240" w:lineRule="auto"/>
              <w:jc w:val="center"/>
            </w:pPr>
            <w:r>
              <w:rPr>
                <w:rFonts w:ascii="Century Gothic" w:hAnsi="Century Gothic" w:cs="Century Gothic" w:eastAsia="Century Gothic"/>
                <w:b/>
                <w:i w:val="0"/>
                <w:color w:val="000000"/>
                <w:sz w:val="17"/>
              </w:rPr>
              <w:t>Rediseño Curricular</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Nivel de innovación</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Plan vigente</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Rediseño curricular, Artículo 5 de la Resolución HCU N.º 032/2025</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Perfil de egreso</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Orientado a la auditoría financiera</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Contador Público con competencias en información financiera, aseguramiento, tecnología, sostenibilidad y ética bajo el Código del IESBA</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Enfoque curricular</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Organización por asignaturas y áreas</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Formación por competencias, con mapa de competencias y planes de asignatura por unidad y elementos de competencia</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Duración y régimen</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Cinco años, anual con asignaturas semestrales</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Cinco años, anual en todas las asignaturas</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Asignaturas</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43: 29 del Área Contable y de Auditoría y 14 del Área Contextual</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43: 29 del Área Contable y de Auditoría y 14 del Área Contextual, con los cambios detallados en el punto 3.1.4</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Carga horaria y créditos</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6.000 horas académicas</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6.000 horas presenciales, 3.000 horas no presenciales y 300 créditos</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Grados intermedios</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Técnico Superior en Contabilidad General</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Técnico Universitario Medio en Contabilidad y Técnico Superior en Contabilidad General</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Prácticas preprofesionales</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No contempladas</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Obligatorias desde el tercer año</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Tecnología</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Sistemas de información y contabilidad automatizada, sin analítica de datos</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Tecnologías de información, sistemas ERP, análisis de datos, auditoría digital y ciberseguridad</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Sostenibilidad</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Gabinete de Auditoría Ambiental, sin información ni aseguramiento de sostenibilidad</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Reportes y aseguramiento de sostenibilidad y auditoría ambiental</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Idioma</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No contemplado</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Inglés nivel B2 como requisito de egreso</w:t>
            </w:r>
          </w:p>
        </w:tc>
      </w:tr>
      <w:tr>
        <w:tc>
          <w:tcPr>
            <w:tcW w:type="dxa" w:w="2041"/>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Transición</w:t>
            </w:r>
          </w:p>
        </w:tc>
        <w:tc>
          <w:tcPr>
            <w:tcW w:type="dxa" w:w="317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No aplica</w:t>
            </w:r>
          </w:p>
        </w:tc>
        <w:tc>
          <w:tcPr>
            <w:tcW w:type="dxa" w:w="3855"/>
            <w:tcBorders>
              <w:top w:val="single" w:sz="4" w:space="0" w:color="808080"/>
              <w:left w:val="single" w:sz="4" w:space="0" w:color="808080"/>
              <w:bottom w:val="single" w:sz="4" w:space="0" w:color="808080"/>
              <w:right w:val="single" w:sz="4" w:space="0" w:color="808080"/>
            </w:tcBorders>
            <w:shd w:val="clear" w:color="auto" w:fill="FFFFFF"/>
            <w:vAlign w:val="top"/>
          </w:tcPr>
          <w:p>
            <w:pPr>
              <w:spacing w:before="0" w:after="0" w:line="240" w:lineRule="auto"/>
              <w:jc w:val="left"/>
            </w:pPr>
            <w:r>
              <w:rPr>
                <w:rFonts w:ascii="Century Gothic" w:hAnsi="Century Gothic" w:cs="Century Gothic" w:eastAsia="Century Gothic"/>
                <w:b w:val="0"/>
                <w:i w:val="0"/>
                <w:sz w:val="17"/>
              </w:rPr>
              <w:t>Convalidación y homologación, implementación año por año desde 2027 y extinción progresiva del Plan 2013</w:t>
            </w:r>
          </w:p>
        </w:tc>
      </w:tr>
    </w:tbl>
    <w:p>
      <w:pPr>
        <w:spacing w:before="40" w:after="200" w:line="240" w:lineRule="auto"/>
        <w:jc w:val="left"/>
      </w:pPr>
      <w:r>
        <w:rPr>
          <w:rFonts w:ascii="Century Gothic" w:hAnsi="Century Gothic" w:cs="Century Gothic" w:eastAsia="Century Gothic"/>
          <w:b w:val="0"/>
          <w:i w:val="0"/>
          <w:sz w:val="16"/>
        </w:rPr>
        <w:t>Fuente: documento final del Rediseño Curricular, puntos 1, 3, 4, 5 y 16.</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1"/>
    <w:lvlOverride w:ilvl="0">
      <w:startOverride w:val="1"/>
    </w:lvlOverride>
  </w:num>
  <w:num w:numId="904">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 Comisión Académica - Rediseño Curricular</dc:title>
  <dc:subject/>
  <dc:creator>Carrera de Contaduría Pública - UMSA</dc:creator>
  <cp:keywords/>
  <dc:description/>
  <cp:lastModifiedBy>Roberto Mauricio Ramos Callisaya</cp:lastModifiedBy>
  <cp:revision>1</cp:revision>
  <dcterms:created xsi:type="dcterms:W3CDTF">2013-12-23T23:15:00Z</dcterms:created>
  <dcterms:modified xsi:type="dcterms:W3CDTF">2013-12-23T23:15:00Z</dcterms:modified>
  <cp:category/>
</cp:coreProperties>
</file>