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Implementación del Proyecto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11.</w:t>
        <w:tab/>
      </w:r>
      <w:r>
        <w:rPr>
          <w:rFonts w:ascii="Century Gothic" w:hAnsi="Century Gothic" w:cs="Century Gothic" w:eastAsia="Century Gothic"/>
          <w:b/>
          <w:i w:val="0"/>
          <w:sz w:val="24"/>
        </w:rPr>
        <w:t>Implementación del proyecto curricular</w:t>
      </w:r>
    </w:p>
    <w:p>
      <w:pPr>
        <w:spacing w:before="0" w:after="200" w:line="240" w:lineRule="auto"/>
        <w:jc w:val="both"/>
      </w:pPr>
      <w:r>
        <w:rPr>
          <w:rFonts w:ascii="Century Gothic" w:hAnsi="Century Gothic" w:cs="Century Gothic" w:eastAsia="Century Gothic"/>
          <w:b w:val="0"/>
          <w:i w:val="0"/>
          <w:sz w:val="20"/>
        </w:rPr>
        <w:t>Este punto establece las condiciones materiales, humanas y financieras para implementar el Plan de Estudios 2027. Parte del contraste entre los registros institucionales y la percepción de docentes y estudiantes recogida en el diagnóstico situacional, identifica las brechas respecto de un modelo por competencias con metodologías activas y uso intensivo de tecnología, y propone medidas de corto, mediano y largo plazo en tres componentes: infraestructura, equipamiento y sistemas informáticos; recursos humanos; y gestión presupuestaria y financiera.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11.1</w:t>
        <w:tab/>
      </w:r>
      <w:r>
        <w:rPr>
          <w:rFonts w:ascii="Century Gothic" w:hAnsi="Century Gothic" w:cs="Century Gothic" w:eastAsia="Century Gothic"/>
          <w:b/>
          <w:i w:val="0"/>
          <w:sz w:val="24"/>
        </w:rPr>
        <w:t>Infraestructura, equipamiento y sistemas de soporte informático</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11.1.1</w:t>
        <w:tab/>
      </w:r>
      <w:r>
        <w:rPr>
          <w:rFonts w:ascii="Century Gothic" w:hAnsi="Century Gothic" w:cs="Century Gothic" w:eastAsia="Century Gothic"/>
          <w:b/>
          <w:i w:val="0"/>
          <w:sz w:val="22"/>
        </w:rPr>
        <w:t>Población estudiantil y demanda académica</w:t>
      </w:r>
    </w:p>
    <w:p>
      <w:pPr>
        <w:keepNext/>
        <w:spacing w:before="40" w:after="80" w:line="240" w:lineRule="auto"/>
        <w:jc w:val="center"/>
      </w:pPr>
      <w:r>
        <w:rPr>
          <w:rFonts w:ascii="Century Gothic" w:hAnsi="Century Gothic" w:cs="Century Gothic" w:eastAsia="Century Gothic"/>
          <w:b/>
          <w:i w:val="0"/>
          <w:sz w:val="20"/>
        </w:rPr>
        <w:t>Cuadro 1. Estudiantes matriculados e inscritos</w:t>
      </w:r>
    </w:p>
    <w:tbl>
      <w:tblPr>
        <w:tblW w:type="auto" w:w="0"/>
        <w:jc w:val="center"/>
        <w:tblLayout w:type="fixed"/>
        <w:tblLook w:firstColumn="1" w:firstRow="1" w:lastColumn="0" w:lastRow="0" w:noHBand="0" w:noVBand="1" w:val="04A0"/>
      </w:tblPr>
      <w:tblGrid>
        <w:gridCol w:w="3175"/>
        <w:gridCol w:w="1191"/>
        <w:gridCol w:w="1191"/>
        <w:gridCol w:w="1191"/>
        <w:gridCol w:w="1191"/>
        <w:gridCol w:w="1191"/>
      </w:tblGrid>
      <w:tr>
        <w:trPr>
          <w:tblHeader/>
        </w:trPr>
        <w:tc>
          <w:tcPr>
            <w:tcW w:type="dxa" w:w="31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Estudiantes</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2021</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2022</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2023</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2024</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2025</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Matriculados</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4.705</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4.546</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4.447</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4.365</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4.283</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Inscritos</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3.152</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3.231</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3.214</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3.182</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3.143</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Diferencia</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1.553</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1.315</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1.233</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1.183</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1.140</w:t>
            </w:r>
          </w:p>
        </w:tc>
      </w:tr>
    </w:tbl>
    <w:p>
      <w:pPr>
        <w:spacing w:before="40" w:after="200" w:line="240" w:lineRule="auto"/>
        <w:jc w:val="left"/>
      </w:pPr>
      <w:r>
        <w:rPr>
          <w:rFonts w:ascii="Century Gothic" w:hAnsi="Century Gothic" w:cs="Century Gothic" w:eastAsia="Century Gothic"/>
          <w:b w:val="0"/>
          <w:i w:val="0"/>
          <w:sz w:val="16"/>
        </w:rPr>
        <w:t>Fuente: Sistema de Registro Universitario y Sistema de Seguimiento Académico, Diagnóstico 2026.</w:t>
      </w:r>
    </w:p>
    <w:p>
      <w:pPr>
        <w:spacing w:before="0" w:after="200" w:line="240" w:lineRule="auto"/>
        <w:jc w:val="both"/>
      </w:pPr>
      <w:r>
        <w:rPr>
          <w:rFonts w:ascii="Century Gothic" w:hAnsi="Century Gothic" w:cs="Century Gothic" w:eastAsia="Century Gothic"/>
          <w:b w:val="0"/>
          <w:i w:val="0"/>
          <w:sz w:val="20"/>
        </w:rPr>
        <w:t>Entre 2021 y 2025, los estudiantes matriculados disminuyeron en 8,97 %, mientras que los inscritos se mantuvieron estables, con una variación de 3.152 a 3.143. La diferencia corresponde a estudiantes que se matriculan pero no cursan asignaturas; aunque se redujo de 1.553 a 1.140, todavía representa el 26,6 % de los matriculados de 2025 y exige políticas de retención como las del punto 5.</w:t>
      </w:r>
    </w:p>
    <w:p>
      <w:pPr>
        <w:keepNext/>
        <w:spacing w:before="40" w:after="80" w:line="240" w:lineRule="auto"/>
        <w:jc w:val="center"/>
      </w:pPr>
      <w:r>
        <w:rPr>
          <w:rFonts w:ascii="Century Gothic" w:hAnsi="Century Gothic" w:cs="Century Gothic" w:eastAsia="Century Gothic"/>
          <w:b/>
          <w:i w:val="0"/>
          <w:sz w:val="20"/>
        </w:rPr>
        <w:t>Cuadro 2. Inscripciones por asignatura y paralelo</w:t>
      </w:r>
    </w:p>
    <w:tbl>
      <w:tblPr>
        <w:tblW w:type="auto" w:w="0"/>
        <w:jc w:val="center"/>
        <w:tblLayout w:type="fixed"/>
        <w:tblLook w:firstColumn="1" w:firstRow="1" w:lastColumn="0" w:lastRow="0" w:noHBand="0" w:noVBand="1" w:val="04A0"/>
      </w:tblPr>
      <w:tblGrid>
        <w:gridCol w:w="4309"/>
        <w:gridCol w:w="1191"/>
        <w:gridCol w:w="1191"/>
        <w:gridCol w:w="1191"/>
        <w:gridCol w:w="1191"/>
      </w:tblGrid>
      <w:tr>
        <w:trPr>
          <w:tblHeader/>
        </w:trPr>
        <w:tc>
          <w:tcPr>
            <w:tcW w:type="dxa" w:w="43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Indicador</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2023</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2024</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2025</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2026</w:t>
            </w:r>
          </w:p>
        </w:tc>
      </w:tr>
      <w:tr>
        <w:tc>
          <w:tcPr>
            <w:tcW w:type="dxa" w:w="4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Inscripciones por asignatura y paralelo</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22.636</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23.811</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23.983</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24.117</w:t>
            </w:r>
          </w:p>
        </w:tc>
      </w:tr>
      <w:tr>
        <w:tc>
          <w:tcPr>
            <w:tcW w:type="dxa" w:w="4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Paralelos habilitados</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208</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229</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222</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227</w:t>
            </w:r>
          </w:p>
        </w:tc>
      </w:tr>
      <w:tr>
        <w:tc>
          <w:tcPr>
            <w:tcW w:type="dxa" w:w="4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Promedio de estudiantes por paralelo</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109</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104</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108</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106</w:t>
            </w:r>
          </w:p>
        </w:tc>
      </w:tr>
    </w:tbl>
    <w:p>
      <w:pPr>
        <w:spacing w:before="40" w:after="200" w:line="240" w:lineRule="auto"/>
        <w:jc w:val="left"/>
      </w:pPr>
      <w:r>
        <w:rPr>
          <w:rFonts w:ascii="Century Gothic" w:hAnsi="Century Gothic" w:cs="Century Gothic" w:eastAsia="Century Gothic"/>
          <w:b w:val="0"/>
          <w:i w:val="0"/>
          <w:sz w:val="16"/>
        </w:rPr>
        <w:t>Fuente: Centro de Cómputo de la Carrera de Contaduría Pública.</w:t>
      </w:r>
    </w:p>
    <w:p>
      <w:pPr>
        <w:spacing w:before="0" w:after="200" w:line="240" w:lineRule="auto"/>
        <w:jc w:val="both"/>
      </w:pPr>
      <w:r>
        <w:rPr>
          <w:rFonts w:ascii="Century Gothic" w:hAnsi="Century Gothic" w:cs="Century Gothic" w:eastAsia="Century Gothic"/>
          <w:b w:val="0"/>
          <w:i w:val="0"/>
          <w:sz w:val="20"/>
        </w:rPr>
        <w:t>El promedio de 104 a 109 estudiantes por paralelo supera lo que permite un trabajo por competencias con evaluación continua. Por ello, el punto 8.6 fija una meta intermedia de 80 estudiantes por paralelo, que requiere 302 paralelos, y una meta objetivo de 60, que requiere 402.</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11.1.2</w:t>
        <w:tab/>
      </w:r>
      <w:r>
        <w:rPr>
          <w:rFonts w:ascii="Century Gothic" w:hAnsi="Century Gothic" w:cs="Century Gothic" w:eastAsia="Century Gothic"/>
          <w:b/>
          <w:i w:val="0"/>
          <w:sz w:val="22"/>
        </w:rPr>
        <w:t>Infraestructura física disponible</w:t>
      </w:r>
    </w:p>
    <w:p>
      <w:pPr>
        <w:spacing w:before="0" w:after="200" w:line="240" w:lineRule="auto"/>
        <w:jc w:val="both"/>
      </w:pPr>
      <w:r>
        <w:rPr>
          <w:rFonts w:ascii="Century Gothic" w:hAnsi="Century Gothic" w:cs="Century Gothic" w:eastAsia="Century Gothic"/>
          <w:b w:val="0"/>
          <w:i w:val="0"/>
          <w:sz w:val="20"/>
        </w:rPr>
        <w:t>La Carrera desarrolla sus actividades en dos sedes. En el Edificio Nava Morales, Av. Montes esquina Pando, se desarrollan las asignaturas de primer y segundo año; cuenta con ocho aulas teóricas y un aula multipropósito equipadas con proyector, ecrán, ventiladores, extractores de aire, cámaras de seguridad, pizarras acrílicas, atriles, tarimas y pupitres bipersonales.</w:t>
      </w:r>
    </w:p>
    <w:p>
      <w:pPr>
        <w:keepNext/>
        <w:spacing w:before="40" w:after="80" w:line="240" w:lineRule="auto"/>
        <w:jc w:val="center"/>
      </w:pPr>
      <w:r>
        <w:rPr>
          <w:rFonts w:ascii="Century Gothic" w:hAnsi="Century Gothic" w:cs="Century Gothic" w:eastAsia="Century Gothic"/>
          <w:b/>
          <w:i w:val="0"/>
          <w:sz w:val="20"/>
        </w:rPr>
        <w:t>Cuadro 3. Aulas del Edificio Nava Morales</w:t>
      </w:r>
    </w:p>
    <w:tbl>
      <w:tblPr>
        <w:tblW w:type="auto" w:w="0"/>
        <w:jc w:val="center"/>
        <w:tblLayout w:type="fixed"/>
        <w:tblLook w:firstColumn="1" w:firstRow="1" w:lastColumn="0" w:lastRow="0" w:noHBand="0" w:noVBand="1" w:val="04A0"/>
      </w:tblPr>
      <w:tblGrid>
        <w:gridCol w:w="567"/>
        <w:gridCol w:w="2041"/>
        <w:gridCol w:w="907"/>
        <w:gridCol w:w="1134"/>
        <w:gridCol w:w="1247"/>
        <w:gridCol w:w="1587"/>
        <w:gridCol w:w="1587"/>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Ambiente</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Piso</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Uso</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Superficie</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Capacidad</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m² por estudiante</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multipropósito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Primero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71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73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0,72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124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142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0,87</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71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0,79</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103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0,79</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59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0,66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49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78</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0,63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7</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99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150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0,66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8</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94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138</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0,68</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743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974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bl>
    <w:p>
      <w:pPr>
        <w:spacing w:before="40" w:after="200" w:line="240" w:lineRule="auto"/>
        <w:jc w:val="left"/>
      </w:pPr>
      <w:r>
        <w:rPr>
          <w:rFonts w:ascii="Century Gothic" w:hAnsi="Century Gothic" w:cs="Century Gothic" w:eastAsia="Century Gothic"/>
          <w:b w:val="0"/>
          <w:i w:val="0"/>
          <w:sz w:val="16"/>
        </w:rPr>
        <w:t>Fuente: Centro de Cómputo de la Carrera de Contaduría Pública.</w:t>
      </w:r>
    </w:p>
    <w:p>
      <w:pPr>
        <w:spacing w:before="0" w:after="200" w:line="240" w:lineRule="auto"/>
        <w:jc w:val="both"/>
      </w:pPr>
      <w:r>
        <w:rPr>
          <w:rFonts w:ascii="Century Gothic" w:hAnsi="Century Gothic" w:cs="Century Gothic" w:eastAsia="Century Gothic"/>
          <w:b w:val="0"/>
          <w:i w:val="0"/>
          <w:sz w:val="20"/>
        </w:rPr>
        <w:t>En el Edificio Monoblock Central, Av. Villazón, se desarrollan las asignaturas de tercer año en adelante. La Carrera tiene el uso exclusivo y la administración de los pabellones A, B, C y D, equipados con proyector, ecrán, cámaras de seguridad, pizarras acrílicas, atriles, tarimas y equipos de sonido.</w:t>
      </w:r>
    </w:p>
    <w:p>
      <w:pPr>
        <w:keepNext/>
        <w:spacing w:before="40" w:after="80" w:line="240" w:lineRule="auto"/>
        <w:jc w:val="center"/>
      </w:pPr>
      <w:r>
        <w:rPr>
          <w:rFonts w:ascii="Century Gothic" w:hAnsi="Century Gothic" w:cs="Century Gothic" w:eastAsia="Century Gothic"/>
          <w:b/>
          <w:i w:val="0"/>
          <w:sz w:val="20"/>
        </w:rPr>
        <w:t>Cuadro 4. Aulas del Edificio Monoblock Central</w:t>
      </w:r>
    </w:p>
    <w:tbl>
      <w:tblPr>
        <w:tblW w:type="auto" w:w="0"/>
        <w:jc w:val="center"/>
        <w:tblLayout w:type="fixed"/>
        <w:tblLook w:firstColumn="1" w:firstRow="1" w:lastColumn="0" w:lastRow="0" w:noHBand="0" w:noVBand="1" w:val="04A0"/>
      </w:tblPr>
      <w:tblGrid>
        <w:gridCol w:w="567"/>
        <w:gridCol w:w="2041"/>
        <w:gridCol w:w="907"/>
        <w:gridCol w:w="1134"/>
        <w:gridCol w:w="1247"/>
        <w:gridCol w:w="1587"/>
        <w:gridCol w:w="1587"/>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Ambiente</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Piso</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Uso</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Superficie</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Capacidad</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m² por estudiante</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Pabellón 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Planta baja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320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320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Pabellón B</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Planta baja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330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320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Pabellón C</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Planta baja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310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1,29</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Pabellón D</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Planta baja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310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220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1,41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1.270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1.100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bl>
    <w:p>
      <w:pPr>
        <w:spacing w:before="40" w:after="200" w:line="240" w:lineRule="auto"/>
        <w:jc w:val="left"/>
      </w:pPr>
      <w:r>
        <w:rPr>
          <w:rFonts w:ascii="Century Gothic" w:hAnsi="Century Gothic" w:cs="Century Gothic" w:eastAsia="Century Gothic"/>
          <w:b w:val="0"/>
          <w:i w:val="0"/>
          <w:sz w:val="16"/>
        </w:rPr>
        <w:t>Fuente: Centro de Cómputo de la Carrera de Contaduría Pública.</w:t>
      </w:r>
    </w:p>
    <w:p>
      <w:pPr>
        <w:spacing w:before="0" w:after="200" w:line="240" w:lineRule="auto"/>
        <w:jc w:val="both"/>
      </w:pPr>
      <w:r>
        <w:rPr>
          <w:rFonts w:ascii="Century Gothic" w:hAnsi="Century Gothic" w:cs="Century Gothic" w:eastAsia="Century Gothic"/>
          <w:b w:val="0"/>
          <w:i w:val="0"/>
          <w:sz w:val="20"/>
        </w:rPr>
        <w:t>Las ocho aulas teóricas del Edificio Nava Morales ofrecen entre 0,63 y 0,87 m² por estudiante a plena capacidad, lo que explica la saturación que reportan los estudiantes de primer y segundo año. Los pabellones del Monoblock Central son amplios, pero su tamaño favorece la clase expositiva antes que el trabajo en grupos. La biblioteca, los laboratorios de computación, el auditorio, el Centro de Cómputo y los servidores se describen en los puntos 9 y 10.</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11.1.3</w:t>
        <w:tab/>
      </w:r>
      <w:r>
        <w:rPr>
          <w:rFonts w:ascii="Century Gothic" w:hAnsi="Century Gothic" w:cs="Century Gothic" w:eastAsia="Century Gothic"/>
          <w:b/>
          <w:i w:val="0"/>
          <w:sz w:val="22"/>
        </w:rPr>
        <w:t>Evaluación del estado actual</w:t>
      </w:r>
    </w:p>
    <w:p>
      <w:pPr>
        <w:spacing w:before="0" w:after="200" w:line="240" w:lineRule="auto"/>
        <w:jc w:val="both"/>
      </w:pPr>
      <w:r>
        <w:rPr>
          <w:rFonts w:ascii="Century Gothic" w:hAnsi="Century Gothic" w:cs="Century Gothic" w:eastAsia="Century Gothic"/>
          <w:b w:val="0"/>
          <w:i w:val="0"/>
          <w:sz w:val="20"/>
        </w:rPr>
        <w:t>El diagnóstico situacional aplicó una matriz de evaluación con participación estudiantil, cuyos resultados se resumen a continuación:</w:t>
      </w:r>
    </w:p>
    <w:p>
      <w:pPr>
        <w:keepNext/>
        <w:spacing w:before="40" w:after="80" w:line="240" w:lineRule="auto"/>
        <w:jc w:val="center"/>
      </w:pPr>
      <w:r>
        <w:rPr>
          <w:rFonts w:ascii="Century Gothic" w:hAnsi="Century Gothic" w:cs="Century Gothic" w:eastAsia="Century Gothic"/>
          <w:b/>
          <w:i w:val="0"/>
          <w:sz w:val="20"/>
        </w:rPr>
        <w:t>Cuadro 5. Evaluación del estado de aulas, espacios físicos y tecnología</w:t>
      </w:r>
    </w:p>
    <w:tbl>
      <w:tblPr>
        <w:tblW w:type="auto" w:w="0"/>
        <w:jc w:val="center"/>
        <w:tblLayout w:type="fixed"/>
        <w:tblLook w:firstColumn="1" w:firstRow="1" w:lastColumn="0" w:lastRow="0" w:noHBand="0" w:noVBand="1" w:val="04A0"/>
      </w:tblPr>
      <w:tblGrid>
        <w:gridCol w:w="2041"/>
        <w:gridCol w:w="1361"/>
        <w:gridCol w:w="2551"/>
        <w:gridCol w:w="3118"/>
      </w:tblGrid>
      <w:tr>
        <w:trPr>
          <w:tblHeader/>
        </w:trPr>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Aspecto evaluado</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Valoración</w:t>
            </w:r>
          </w:p>
        </w:tc>
        <w:tc>
          <w:tcPr>
            <w:tcW w:type="dxa" w:w="25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Dato o detalle</w:t>
            </w:r>
          </w:p>
        </w:tc>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Problema crítico detectado</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Inventario actualizado de aulas y su capacidad real</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Parcial</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4.283 matriculados y 3.143 inscritos; 974 plazas en las aulas del Edificio Nava Morales; biblioteca con 90 plazas</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Saturación en primer y segundo año: los paralelos superan la capacidad de las aulas y hay estudiantes sin asiento</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Laboratorios de computación suficientes</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Parcial</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70 puestos en el Edificio Nava Morales y 36 en el Monoblock Central, de los cuales 20 están completos</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Equipos obsoletos y lentos, insuficientes para la auditoría de datos y las metodologías activas</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Software especializado instalado y licenciado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Sin sistemas ERP ni herramientas de auditoría asistida por computadora</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Los estudiantes no practican con las herramientas del ejercicio profesional</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Mobiliario y conectividad adecuados</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Temperaturas extremas, ventilación ineficiente, fallas de proyectores, pantallas manuales y limitaciones de la plataforma Moodle</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Las condiciones ambientales y las fallas técnicas interrumpen las clases</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Distribución funcional entre sedes</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Primer y segundo año en el Edificio Nava Morales; tercer año en adelante en el Monoblock Central</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Los traslados entre sedes con clases seguidas generan retrasos de estudiantes y docentes</w:t>
            </w:r>
          </w:p>
        </w:tc>
      </w:tr>
    </w:tbl>
    <w:p>
      <w:pPr>
        <w:spacing w:before="40" w:after="200" w:line="240" w:lineRule="auto"/>
        <w:jc w:val="left"/>
      </w:pPr>
      <w:r>
        <w:rPr>
          <w:rFonts w:ascii="Century Gothic" w:hAnsi="Century Gothic" w:cs="Century Gothic" w:eastAsia="Century Gothic"/>
          <w:b w:val="0"/>
          <w:i w:val="0"/>
          <w:sz w:val="16"/>
        </w:rPr>
        <w:t>Fuente: elaboración con base en el diagnóstico situacional y la información de la Carrera de Contaduría Pública.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11.1.4</w:t>
        <w:tab/>
      </w:r>
      <w:r>
        <w:rPr>
          <w:rFonts w:ascii="Century Gothic" w:hAnsi="Century Gothic" w:cs="Century Gothic" w:eastAsia="Century Gothic"/>
          <w:b/>
          <w:i w:val="0"/>
          <w:sz w:val="22"/>
        </w:rPr>
        <w:t>Requerimientos para el Plan 2027 y propuestas de mejora</w:t>
      </w:r>
    </w:p>
    <w:p>
      <w:pPr>
        <w:spacing w:before="0" w:after="200" w:line="240" w:lineRule="auto"/>
        <w:jc w:val="both"/>
      </w:pPr>
      <w:r>
        <w:rPr>
          <w:rFonts w:ascii="Century Gothic" w:hAnsi="Century Gothic" w:cs="Century Gothic" w:eastAsia="Century Gothic"/>
          <w:b w:val="0"/>
          <w:i w:val="0"/>
          <w:sz w:val="20"/>
        </w:rPr>
        <w:t>El Plan 2027 exige simular entornos profesionales reales, procesar datos financieros y desarrollar la literacidad digital. Esto no es posible con la sobrepoblación de las aulas de los primeros años, la dispersión entre sedes, la obsolescencia de los equipos y la falta de software profesional. En concordancia con las directrices del Sistema de la Universidad Boliviana, los informes del Foro Económico Mundial y el estudio de Ipsos CIESMORI citados en el punto 3, se establecen los siguientes requerimientos:</w:t>
      </w:r>
    </w:p>
    <w:p>
      <w:pPr>
        <w:keepNext/>
        <w:spacing w:before="40" w:after="80" w:line="240" w:lineRule="auto"/>
        <w:jc w:val="center"/>
      </w:pPr>
      <w:r>
        <w:rPr>
          <w:rFonts w:ascii="Century Gothic" w:hAnsi="Century Gothic" w:cs="Century Gothic" w:eastAsia="Century Gothic"/>
          <w:b/>
          <w:i w:val="0"/>
          <w:sz w:val="20"/>
        </w:rPr>
        <w:t>Cuadro 6. Requerimientos de infraestructura y equipamiento</w:t>
      </w:r>
    </w:p>
    <w:tbl>
      <w:tblPr>
        <w:tblW w:type="auto" w:w="0"/>
        <w:jc w:val="center"/>
        <w:tblLayout w:type="fixed"/>
        <w:tblLook w:firstColumn="1" w:firstRow="1" w:lastColumn="0" w:lastRow="0" w:noHBand="0" w:noVBand="1" w:val="04A0"/>
      </w:tblPr>
      <w:tblGrid>
        <w:gridCol w:w="1928"/>
        <w:gridCol w:w="6009"/>
        <w:gridCol w:w="1134"/>
      </w:tblGrid>
      <w:tr>
        <w:trPr>
          <w:tblHeader/>
        </w:trPr>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Componente</w:t>
            </w:r>
          </w:p>
        </w:tc>
        <w:tc>
          <w:tcPr>
            <w:tcW w:type="dxa" w:w="60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Requerimiento</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Plazo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Aulas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Programación horaria que concentre las asignaturas de cada año por sede y jornada para evitar traslados; habilitación de los paralelos adicionales de la meta intermedia; mantenimiento de ventilación, proyectores y mobiliario mediante un sistema digital de reporte de incidencias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Plataforma virtual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Ampliación de la capacidad de la plataforma Moodle para atender a todos los estudiantes inscritos y habilitación de un aula virtual por asignatura y paralelo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Laboratorios de computación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del software entre ambos laboratorios; reposición de los puestos incompletos del Monoblock Central; renovación escalonada de los equipos de ambos laboratorios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 y 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Software profesional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Sistemas ERP, herramientas de auditoría asistida por computadora como ACL o IDEA, y herramientas de análisis de datos como Power BI, Tableau y Python, mediante licencias académicas o software de código abierto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Recursos de información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Actualización bibliográfica conforme al punto 9.1.4, repositorio de casos empresariales y acceso en línea a las normas de la IFAC y del IASB</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 y 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Conectividad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Cobertura inalámbrica en todas las aulas y ampliación del ancho de banda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Espacios colaborativos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Salas de trabajo en equipo para el aprendizaje basado en proyectos y la simulación de firmas de auditoría y consultoría, con mobiliario móvil y tecnología interactiva; ambiente para la consultoría social contable del punto 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Infraestructura propia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Gestión ante la Universidad de un predio centralizado para la Carrera que supere la dispersión entre sedes y el déficit de capacidad instalada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Largo</w:t>
            </w:r>
          </w:p>
        </w:tc>
      </w:tr>
    </w:tbl>
    <w:p>
      <w:pPr>
        <w:spacing w:before="40" w:after="200" w:line="240" w:lineRule="auto"/>
        <w:jc w:val="left"/>
      </w:pPr>
      <w:r>
        <w:rPr>
          <w:rFonts w:ascii="Century Gothic" w:hAnsi="Century Gothic" w:cs="Century Gothic" w:eastAsia="Century Gothic"/>
          <w:b w:val="0"/>
          <w:i w:val="0"/>
          <w:sz w:val="16"/>
        </w:rPr>
        <w:t>Fuente: elaboración con base en el diagnóstico situacional y los puntos 9 y 10.</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11.2</w:t>
        <w:tab/>
      </w:r>
      <w:r>
        <w:rPr>
          <w:rFonts w:ascii="Century Gothic" w:hAnsi="Century Gothic" w:cs="Century Gothic" w:eastAsia="Century Gothic"/>
          <w:b/>
          <w:i w:val="0"/>
          <w:sz w:val="24"/>
        </w:rPr>
        <w:t>Recursos humanos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11.2.1</w:t>
        <w:tab/>
      </w:r>
      <w:r>
        <w:rPr>
          <w:rFonts w:ascii="Century Gothic" w:hAnsi="Century Gothic" w:cs="Century Gothic" w:eastAsia="Century Gothic"/>
          <w:b/>
          <w:i w:val="0"/>
          <w:sz w:val="22"/>
        </w:rPr>
        <w:t>Situación actual del cuerpo docente</w:t>
      </w:r>
    </w:p>
    <w:p>
      <w:pPr>
        <w:spacing w:before="0" w:after="200" w:line="240" w:lineRule="auto"/>
        <w:jc w:val="both"/>
      </w:pPr>
      <w:r>
        <w:rPr>
          <w:rFonts w:ascii="Century Gothic" w:hAnsi="Century Gothic" w:cs="Century Gothic" w:eastAsia="Century Gothic"/>
          <w:b w:val="0"/>
          <w:i w:val="0"/>
          <w:sz w:val="20"/>
        </w:rPr>
        <w:t>En 2026, la Carrera cuenta con 82 docentes que ocupan 183 designaciones y 108 cargas horarias, porque varios docentes dictan asignaturas en más de un área:</w:t>
      </w:r>
    </w:p>
    <w:p>
      <w:pPr>
        <w:keepNext/>
        <w:spacing w:before="40" w:after="80" w:line="240" w:lineRule="auto"/>
        <w:jc w:val="center"/>
      </w:pPr>
      <w:r>
        <w:rPr>
          <w:rFonts w:ascii="Century Gothic" w:hAnsi="Century Gothic" w:cs="Century Gothic" w:eastAsia="Century Gothic"/>
          <w:b/>
          <w:i w:val="0"/>
          <w:sz w:val="20"/>
        </w:rPr>
        <w:t>Cuadro 7. Docentes por área y categoría</w:t>
      </w:r>
    </w:p>
    <w:tbl>
      <w:tblPr>
        <w:tblW w:type="auto" w:w="0"/>
        <w:jc w:val="center"/>
        <w:tblLayout w:type="fixed"/>
        <w:tblLook w:firstColumn="1" w:firstRow="1" w:lastColumn="0" w:lastRow="0" w:noHBand="0" w:noVBand="1" w:val="04A0"/>
      </w:tblPr>
      <w:tblGrid>
        <w:gridCol w:w="2948"/>
        <w:gridCol w:w="1587"/>
        <w:gridCol w:w="1361"/>
        <w:gridCol w:w="1587"/>
        <w:gridCol w:w="1587"/>
      </w:tblGrid>
      <w:tr>
        <w:trPr>
          <w:tblHeader/>
        </w:trPr>
        <w:tc>
          <w:tcPr>
            <w:tcW w:type="dxa" w:w="29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Área</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Interinos e invitados</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Titulares</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Total de designaciones</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Cargas horarias</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Información Financiera</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41</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Servicios de Aseguramiento</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33</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45</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32</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Administración</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15</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Derecho</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Economía</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Matemáticas</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98</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85</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183</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108</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Porcentaje</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53,55 %</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46,45 %</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100 %</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bl>
    <w:p>
      <w:pPr>
        <w:spacing w:before="40" w:after="200" w:line="240" w:lineRule="auto"/>
        <w:jc w:val="left"/>
      </w:pPr>
      <w:r>
        <w:rPr>
          <w:rFonts w:ascii="Century Gothic" w:hAnsi="Century Gothic" w:cs="Century Gothic" w:eastAsia="Century Gothic"/>
          <w:b w:val="0"/>
          <w:i w:val="0"/>
          <w:sz w:val="16"/>
        </w:rPr>
        <w:t>Fuente: Reporte de Personal Docente, Diagnóstico 2026. Los 85 titulares comprenden 52 de categoría C, 32 eméritos y 1 de categoría B.</w:t>
      </w:r>
    </w:p>
    <w:p>
      <w:pPr>
        <w:keepNext/>
        <w:spacing w:before="40" w:after="80" w:line="240" w:lineRule="auto"/>
        <w:jc w:val="center"/>
      </w:pPr>
      <w:r>
        <w:rPr>
          <w:rFonts w:ascii="Century Gothic" w:hAnsi="Century Gothic" w:cs="Century Gothic" w:eastAsia="Century Gothic"/>
          <w:b/>
          <w:i w:val="0"/>
          <w:sz w:val="20"/>
        </w:rPr>
        <w:t>Cuadro 8. Cargas horarias según su dedicación</w:t>
      </w:r>
    </w:p>
    <w:tbl>
      <w:tblPr>
        <w:tblW w:type="auto" w:w="0"/>
        <w:jc w:val="center"/>
        <w:tblLayout w:type="fixed"/>
        <w:tblLook w:firstColumn="1" w:firstRow="1" w:lastColumn="0" w:lastRow="0" w:noHBand="0" w:noVBand="1" w:val="04A0"/>
      </w:tblPr>
      <w:tblGrid>
        <w:gridCol w:w="2041"/>
        <w:gridCol w:w="907"/>
        <w:gridCol w:w="907"/>
        <w:gridCol w:w="907"/>
        <w:gridCol w:w="907"/>
        <w:gridCol w:w="1701"/>
        <w:gridCol w:w="907"/>
      </w:tblGrid>
      <w:tr>
        <w:trPr>
          <w:tblHeader/>
        </w:trPr>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Carga horaria mensual</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32 h</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64 h</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96 h</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128 h</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160 h, tiempo completo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Total</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Número de cargas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63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27</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8</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108</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Porcentaje</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58,3 %</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25,0 %</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7,4 %</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7,4 %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1,9 %</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100 %</w:t>
            </w:r>
          </w:p>
        </w:tc>
      </w:tr>
    </w:tbl>
    <w:p>
      <w:pPr>
        <w:spacing w:before="40" w:after="200" w:line="240" w:lineRule="auto"/>
        <w:jc w:val="left"/>
      </w:pPr>
      <w:r>
        <w:rPr>
          <w:rFonts w:ascii="Century Gothic" w:hAnsi="Century Gothic" w:cs="Century Gothic" w:eastAsia="Century Gothic"/>
          <w:b w:val="0"/>
          <w:i w:val="0"/>
          <w:sz w:val="16"/>
        </w:rPr>
        <w:t>Fuente: Reporte de Personal Docente, Diagnóstico 2026.</w:t>
      </w:r>
    </w:p>
    <w:p>
      <w:pPr>
        <w:spacing w:before="0" w:after="200" w:line="240" w:lineRule="auto"/>
        <w:jc w:val="both"/>
      </w:pPr>
      <w:r>
        <w:rPr>
          <w:rFonts w:ascii="Century Gothic" w:hAnsi="Century Gothic" w:cs="Century Gothic" w:eastAsia="Century Gothic"/>
          <w:b w:val="0"/>
          <w:i w:val="0"/>
          <w:sz w:val="20"/>
        </w:rPr>
        <w:t>Los datos muestran tres debilidades. Primero, más de la mitad de las designaciones corresponde a docentes interinos e invitados, lo que afecta la estabilidad pedagógica y la continuidad de la investigación y la interacción social. Segundo, el área de Servicios de Aseguramiento, núcleo profesional del Contador Público Autorizado, tiene solo 12 titulares de 45 designaciones. Tercero, solo dos cargas son de tiempo completo y el 58,3 % es de 32 horas, una relación que debería ser inversa para sostener la tutoría, la investigación y la evaluación por competencias.</w:t>
      </w:r>
    </w:p>
    <w:p>
      <w:pPr>
        <w:spacing w:before="0" w:after="200" w:line="240" w:lineRule="auto"/>
        <w:jc w:val="both"/>
      </w:pPr>
      <w:r>
        <w:rPr>
          <w:rFonts w:ascii="Century Gothic" w:hAnsi="Century Gothic" w:cs="Century Gothic" w:eastAsia="Century Gothic"/>
          <w:b w:val="0"/>
          <w:i w:val="0"/>
          <w:sz w:val="20"/>
        </w:rPr>
        <w:t>Como apoyo a la docencia, la Carrera cuenta con 79 ítems de auxiliares de docencia, que priorizan las asignaturas troncales. El Instituto de Investigaciones dispone de 320 horas mensuales y su Dirección se encuentra acéfala desde 2022. El personal administrativo suma 23 servidores, 10 de planta y 13 contratados con recursos propios, a los que se añaden los servidores de la Unidad de Postgrado y del PETAENG, financiados por esas unidades.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11.2.2</w:t>
        <w:tab/>
      </w:r>
      <w:r>
        <w:rPr>
          <w:rFonts w:ascii="Century Gothic" w:hAnsi="Century Gothic" w:cs="Century Gothic" w:eastAsia="Century Gothic"/>
          <w:b/>
          <w:i w:val="0"/>
          <w:sz w:val="22"/>
        </w:rPr>
        <w:t>Perfil y requisitos del docente</w:t>
      </w:r>
    </w:p>
    <w:p>
      <w:pPr>
        <w:spacing w:before="0" w:after="200" w:line="240" w:lineRule="auto"/>
        <w:jc w:val="both"/>
      </w:pPr>
      <w:r>
        <w:rPr>
          <w:rFonts w:ascii="Century Gothic" w:hAnsi="Century Gothic" w:cs="Century Gothic" w:eastAsia="Century Gothic"/>
          <w:b w:val="0"/>
          <w:i w:val="0"/>
          <w:sz w:val="20"/>
        </w:rPr>
        <w:t>Para garantizar la calidad académica y la idoneidad pedagógica en la ejecución del Plan 2027, se define el perfil del docente por área de conocimiento, en cumplimiento del Reglamento del Régimen Académico Docente de la UMSA, de los criterios de acreditación del Sistema de la Universidad Boliviana y de las IES 2 e IES 4 de la IFAC. El docente de la Carrera es facilitador, investigador y referente ético y profesional, y debe cumplir los siguientes requisitos generales:</w:t>
      </w:r>
    </w:p>
    <w:p>
      <w:pPr>
        <w:numPr>
          <w:ilvl w:val="0"/>
          <w:numId w:val="901"/>
        </w:numPr>
        <w:spacing w:before="0" w:after="160" w:line="240" w:lineRule="auto"/>
        <w:jc w:val="both"/>
      </w:pPr>
      <w:r>
        <w:rPr>
          <w:rFonts w:ascii="Century Gothic" w:hAnsi="Century Gothic" w:cs="Century Gothic" w:eastAsia="Century Gothic"/>
          <w:b/>
          <w:i w:val="0"/>
          <w:sz w:val="20"/>
        </w:rPr>
        <w:t>Formación académica.</w:t>
      </w:r>
      <w:r>
        <w:rPr>
          <w:rFonts w:ascii="Century Gothic" w:hAnsi="Century Gothic" w:cs="Century Gothic" w:eastAsia="Century Gothic"/>
          <w:b w:val="0"/>
          <w:i w:val="0"/>
          <w:sz w:val="20"/>
        </w:rPr>
        <w:t xml:space="preserve"> Diploma académico de licenciatura y título en provisión nacional expedidos o revalidados por una universidad del Sistema de la Universidad Boliviana.</w:t>
      </w:r>
    </w:p>
    <w:p>
      <w:pPr>
        <w:numPr>
          <w:ilvl w:val="0"/>
          <w:numId w:val="901"/>
        </w:numPr>
        <w:spacing w:before="0" w:after="160" w:line="240" w:lineRule="auto"/>
        <w:jc w:val="both"/>
      </w:pPr>
      <w:r>
        <w:rPr>
          <w:rFonts w:ascii="Century Gothic" w:hAnsi="Century Gothic" w:cs="Century Gothic" w:eastAsia="Century Gothic"/>
          <w:b/>
          <w:i w:val="0"/>
          <w:sz w:val="20"/>
        </w:rPr>
        <w:t>Formación pedagógica.</w:t>
      </w:r>
      <w:r>
        <w:rPr>
          <w:rFonts w:ascii="Century Gothic" w:hAnsi="Century Gothic" w:cs="Century Gothic" w:eastAsia="Century Gothic"/>
          <w:b w:val="0"/>
          <w:i w:val="0"/>
          <w:sz w:val="20"/>
        </w:rPr>
        <w:t xml:space="preserve"> Diplomado en Educación Superior o formación equivalente reconocida por el Sistema de la Universidad Boliviana.</w:t>
      </w:r>
    </w:p>
    <w:p>
      <w:pPr>
        <w:numPr>
          <w:ilvl w:val="0"/>
          <w:numId w:val="901"/>
        </w:numPr>
        <w:spacing w:before="0" w:after="160" w:line="240" w:lineRule="auto"/>
        <w:jc w:val="both"/>
      </w:pPr>
      <w:r>
        <w:rPr>
          <w:rFonts w:ascii="Century Gothic" w:hAnsi="Century Gothic" w:cs="Century Gothic" w:eastAsia="Century Gothic"/>
          <w:b/>
          <w:i w:val="0"/>
          <w:sz w:val="20"/>
        </w:rPr>
        <w:t>Experiencia profesional.</w:t>
      </w:r>
      <w:r>
        <w:rPr>
          <w:rFonts w:ascii="Century Gothic" w:hAnsi="Century Gothic" w:cs="Century Gothic" w:eastAsia="Century Gothic"/>
          <w:b w:val="0"/>
          <w:i w:val="0"/>
          <w:sz w:val="20"/>
        </w:rPr>
        <w:t xml:space="preserve"> Experiencia comprobada no menor a tres años en el ejercicio de la profesión y en el área de la asignatura, para que la enseñanza se apoye en casos y problemas reales.</w:t>
      </w:r>
    </w:p>
    <w:p>
      <w:pPr>
        <w:numPr>
          <w:ilvl w:val="0"/>
          <w:numId w:val="901"/>
        </w:numPr>
        <w:spacing w:before="0" w:after="160" w:line="240" w:lineRule="auto"/>
        <w:jc w:val="both"/>
      </w:pPr>
      <w:r>
        <w:rPr>
          <w:rFonts w:ascii="Century Gothic" w:hAnsi="Century Gothic" w:cs="Century Gothic" w:eastAsia="Century Gothic"/>
          <w:b/>
          <w:i w:val="0"/>
          <w:sz w:val="20"/>
        </w:rPr>
        <w:t>Competencias digitales y pedagógicas.</w:t>
      </w:r>
      <w:r>
        <w:rPr>
          <w:rFonts w:ascii="Century Gothic" w:hAnsi="Century Gothic" w:cs="Century Gothic" w:eastAsia="Century Gothic"/>
          <w:b w:val="0"/>
          <w:i w:val="0"/>
          <w:sz w:val="20"/>
        </w:rPr>
        <w:t xml:space="preserve"> Manejo de entornos virtuales de aprendizaje y de herramientas tecnológicas aplicadas, como software contable, sistemas ERP, análisis de datos e inteligencia artificial; dominio de metodologías activas, como el estudio de casos, los proyectos y la simulación; y diseño de evaluaciones auténticas con rúbricas, portafolios y proyectos integradores.</w:t>
      </w:r>
    </w:p>
    <w:p>
      <w:pPr>
        <w:numPr>
          <w:ilvl w:val="0"/>
          <w:numId w:val="901"/>
        </w:numPr>
        <w:spacing w:before="0" w:after="160" w:line="240" w:lineRule="auto"/>
        <w:jc w:val="both"/>
      </w:pPr>
      <w:r>
        <w:rPr>
          <w:rFonts w:ascii="Century Gothic" w:hAnsi="Century Gothic" w:cs="Century Gothic" w:eastAsia="Century Gothic"/>
          <w:b/>
          <w:i w:val="0"/>
          <w:sz w:val="20"/>
        </w:rPr>
        <w:t>Conducta ética.</w:t>
      </w:r>
      <w:r>
        <w:rPr>
          <w:rFonts w:ascii="Century Gothic" w:hAnsi="Century Gothic" w:cs="Century Gothic" w:eastAsia="Century Gothic"/>
          <w:b w:val="0"/>
          <w:i w:val="0"/>
          <w:sz w:val="20"/>
        </w:rPr>
        <w:t xml:space="preserve"> Conducta ética, independencia de criterio y apego a los principios del Código Internacional de Ética del IESBA y al Estatuto Orgánico de la UMSA.</w:t>
      </w:r>
    </w:p>
    <w:p>
      <w:pPr>
        <w:numPr>
          <w:ilvl w:val="0"/>
          <w:numId w:val="901"/>
        </w:numPr>
        <w:spacing w:before="0" w:after="200" w:line="240" w:lineRule="auto"/>
        <w:jc w:val="both"/>
      </w:pPr>
      <w:r>
        <w:rPr>
          <w:rFonts w:ascii="Century Gothic" w:hAnsi="Century Gothic" w:cs="Century Gothic" w:eastAsia="Century Gothic"/>
          <w:b/>
          <w:i w:val="0"/>
          <w:sz w:val="20"/>
        </w:rPr>
        <w:t>Formación de postgrado.</w:t>
      </w:r>
      <w:r>
        <w:rPr>
          <w:rFonts w:ascii="Century Gothic" w:hAnsi="Century Gothic" w:cs="Century Gothic" w:eastAsia="Century Gothic"/>
          <w:b w:val="0"/>
          <w:i w:val="0"/>
          <w:sz w:val="20"/>
        </w:rPr>
        <w:t xml:space="preserve"> En línea con los criterios de acreditación, al menos el 51 % del plantel docente debe contar con especialidad, maestría o doctorado en el área de su asignatura.</w:t>
      </w:r>
    </w:p>
    <w:p>
      <w:pPr>
        <w:spacing w:before="0" w:after="200" w:line="240" w:lineRule="auto"/>
        <w:jc w:val="both"/>
      </w:pPr>
      <w:r>
        <w:rPr>
          <w:rFonts w:ascii="Century Gothic" w:hAnsi="Century Gothic" w:cs="Century Gothic" w:eastAsia="Century Gothic"/>
          <w:b w:val="0"/>
          <w:i w:val="0"/>
          <w:sz w:val="20"/>
        </w:rPr>
        <w:t>Por la naturaleza especializada de las seis áreas de la malla 2027, se establecen además los siguientes requisitos por área:</w:t>
      </w:r>
    </w:p>
    <w:p>
      <w:pPr>
        <w:keepNext/>
        <w:spacing w:before="40" w:after="80" w:line="240" w:lineRule="auto"/>
        <w:jc w:val="center"/>
      </w:pPr>
      <w:r>
        <w:rPr>
          <w:rFonts w:ascii="Century Gothic" w:hAnsi="Century Gothic" w:cs="Century Gothic" w:eastAsia="Century Gothic"/>
          <w:b/>
          <w:i w:val="0"/>
          <w:sz w:val="20"/>
        </w:rPr>
        <w:t>Cuadro 9. Requisitos del docente por área de conocimiento</w:t>
      </w:r>
    </w:p>
    <w:tbl>
      <w:tblPr>
        <w:tblW w:type="auto" w:w="0"/>
        <w:jc w:val="center"/>
        <w:tblLayout w:type="fixed"/>
        <w:tblLook w:firstColumn="1" w:firstRow="1" w:lastColumn="0" w:lastRow="0" w:noHBand="0" w:noVBand="1" w:val="04A0"/>
      </w:tblPr>
      <w:tblGrid>
        <w:gridCol w:w="1587"/>
        <w:gridCol w:w="3402"/>
        <w:gridCol w:w="4082"/>
      </w:tblGrid>
      <w:tr>
        <w:trPr>
          <w:tblHeader/>
        </w:trPr>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Área</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Requisito base</w:t>
            </w:r>
          </w:p>
        </w:tc>
        <w:tc>
          <w:tcPr>
            <w:tcW w:type="dxa" w:w="408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Asignaturas con perfil especializado</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Información Financiera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Licenciatura en Contaduría Pública o Auditoría con título en provisión nacional de Contador Público Autorizado o de Auditor Financiero; experiencia en la aplicación de las Normas de Contabilidad Generalmente Aceptadas en Bolivia, las Normas NIIF de Contabilidad, la NIIF para las PYMES, el Sistema de Contabilidad Integrada y las NICSP</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8"/>
              </w:rPr>
              <w:t>CPA-102 y CPA-305:</w:t>
            </w:r>
            <w:r>
              <w:rPr>
                <w:rFonts w:ascii="Century Gothic" w:hAnsi="Century Gothic" w:cs="Century Gothic" w:eastAsia="Century Gothic"/>
                <w:b w:val="0"/>
                <w:i w:val="0"/>
                <w:sz w:val="18"/>
              </w:rPr>
              <w:t xml:space="preserve"> el título anterior con postgrado en informática o tecnologías de la información, o licenciatura en Informática o Ingeniería de Sistemas con postgrado en Contaduría Pública o Auditoría. </w:t>
            </w:r>
            <w:r>
              <w:rPr>
                <w:rFonts w:ascii="Century Gothic" w:hAnsi="Century Gothic" w:cs="Century Gothic" w:eastAsia="Century Gothic"/>
                <w:b/>
                <w:i w:val="0"/>
                <w:sz w:val="18"/>
              </w:rPr>
              <w:t>CPA-204:</w:t>
            </w:r>
            <w:r>
              <w:rPr>
                <w:rFonts w:ascii="Century Gothic" w:hAnsi="Century Gothic" w:cs="Century Gothic" w:eastAsia="Century Gothic"/>
                <w:b w:val="0"/>
                <w:i w:val="0"/>
                <w:sz w:val="18"/>
              </w:rPr>
              <w:t xml:space="preserve"> el título anterior con postgrado en investigación, o licenciatura en Economía con postgrado en Contaduría Pública o Auditoría</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Servicios de Aseguramiento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Licenciatura en Contaduría Pública o Auditoría con título en provisión nacional de Contador Público Autorizado o de Auditor Financiero; experiencia en firmas de auditoría o en el sector gubernamental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8"/>
              </w:rPr>
              <w:t>CPA-505:</w:t>
            </w:r>
            <w:r>
              <w:rPr>
                <w:rFonts w:ascii="Century Gothic" w:hAnsi="Century Gothic" w:cs="Century Gothic" w:eastAsia="Century Gothic"/>
                <w:b w:val="0"/>
                <w:i w:val="0"/>
                <w:sz w:val="18"/>
              </w:rPr>
              <w:t xml:space="preserve"> postgrado en auditoría de sistemas, ciberseguridad o tecnologías de la información, o licenciatura en Informática o Ingeniería de Sistemas con postgrado en Contaduría Pública o Auditoría. </w:t>
            </w:r>
            <w:r>
              <w:rPr>
                <w:rFonts w:ascii="Century Gothic" w:hAnsi="Century Gothic" w:cs="Century Gothic" w:eastAsia="Century Gothic"/>
                <w:b/>
                <w:i w:val="0"/>
                <w:sz w:val="18"/>
              </w:rPr>
              <w:t>CPA-506:</w:t>
            </w:r>
            <w:r>
              <w:rPr>
                <w:rFonts w:ascii="Century Gothic" w:hAnsi="Century Gothic" w:cs="Century Gothic" w:eastAsia="Century Gothic"/>
                <w:b w:val="0"/>
                <w:i w:val="0"/>
                <w:sz w:val="18"/>
              </w:rPr>
              <w:t xml:space="preserve"> postgrado en sostenibilidad o en aseguramiento conforme a la NIEA 3000 o la NIAS 5000. </w:t>
            </w:r>
            <w:r>
              <w:rPr>
                <w:rFonts w:ascii="Century Gothic" w:hAnsi="Century Gothic" w:cs="Century Gothic" w:eastAsia="Century Gothic"/>
                <w:b/>
                <w:i w:val="0"/>
                <w:sz w:val="18"/>
              </w:rPr>
              <w:t>CPA-508:</w:t>
            </w:r>
            <w:r>
              <w:rPr>
                <w:rFonts w:ascii="Century Gothic" w:hAnsi="Century Gothic" w:cs="Century Gothic" w:eastAsia="Century Gothic"/>
                <w:b w:val="0"/>
                <w:i w:val="0"/>
                <w:sz w:val="18"/>
              </w:rPr>
              <w:t xml:space="preserve"> postgrado en auditoría forense, peritaje o delitos económicos. </w:t>
            </w:r>
            <w:r>
              <w:rPr>
                <w:rFonts w:ascii="Century Gothic" w:hAnsi="Century Gothic" w:cs="Century Gothic" w:eastAsia="Century Gothic"/>
                <w:b/>
                <w:i w:val="0"/>
                <w:sz w:val="18"/>
              </w:rPr>
              <w:t>CPA-510:</w:t>
            </w:r>
            <w:r>
              <w:rPr>
                <w:rFonts w:ascii="Century Gothic" w:hAnsi="Century Gothic" w:cs="Century Gothic" w:eastAsia="Century Gothic"/>
                <w:b w:val="0"/>
                <w:i w:val="0"/>
                <w:sz w:val="18"/>
              </w:rPr>
              <w:t xml:space="preserve"> postgrado en investigación científica, o licenciatura en Economía con postgrado en Contaduría Pública o Auditoría, y experiencia como tutor o tribunal de grado</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Administración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Licenciatura en Administración de Empresas con título en provisión nacional, o licenciatura en Contaduría Pública o Auditoría con título en provisión nacional de Contador Público Autorizado o de Auditor Financiero; experiencia en desarrollo organizacional y sistemas gerenciales</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Derecho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Licenciatura en Derecho con título en provisión nacional de Abogado, o licenciatura en Contaduría Pública o Auditoría con título en provisión nacional de Contador Público Autorizado o de Auditor Financiero; experiencia relacionada con la asignatura</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8"/>
              </w:rPr>
              <w:t>DER-201:</w:t>
            </w:r>
            <w:r>
              <w:rPr>
                <w:rFonts w:ascii="Century Gothic" w:hAnsi="Century Gothic" w:cs="Century Gothic" w:eastAsia="Century Gothic"/>
                <w:b w:val="0"/>
                <w:i w:val="0"/>
                <w:sz w:val="18"/>
              </w:rPr>
              <w:t xml:space="preserve"> el título contable con postgrado en tributación, o el título de Abogado con postgrado en Contaduría Pública o Auditoría</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Economía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Licenciatura en Economía con título en provisión nacional de Economista; experiencia en análisis microeconómico o macroeconómico y en evaluación de proyectos</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Matemáticas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Licenciatura en Contaduría Pública, Auditoría, Matemáticas, Estadística o Economía con título en provisión nacional, con especialización en métodos cuantitativos aplicados a los negocios y las finanzas; experiencia relacionada con la asignatura</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w:t>
            </w:r>
          </w:p>
        </w:tc>
      </w:tr>
    </w:tbl>
    <w:p>
      <w:pPr>
        <w:spacing w:before="40" w:after="200" w:line="240" w:lineRule="auto"/>
        <w:jc w:val="left"/>
      </w:pPr>
      <w:r>
        <w:rPr>
          <w:rFonts w:ascii="Century Gothic" w:hAnsi="Century Gothic" w:cs="Century Gothic" w:eastAsia="Century Gothic"/>
          <w:b w:val="0"/>
          <w:i w:val="0"/>
          <w:sz w:val="16"/>
        </w:rPr>
        <w:t>Fuente: elaboración con base en las IES 2 e IES 4 de la IFAC y en la malla curricular 2027.</w:t>
      </w:r>
    </w:p>
    <w:p>
      <w:pPr>
        <w:spacing w:before="0" w:after="200" w:line="240" w:lineRule="auto"/>
        <w:jc w:val="both"/>
      </w:pPr>
      <w:r>
        <w:rPr>
          <w:rFonts w:ascii="Century Gothic" w:hAnsi="Century Gothic" w:cs="Century Gothic" w:eastAsia="Century Gothic"/>
          <w:b w:val="0"/>
          <w:i w:val="0"/>
          <w:sz w:val="20"/>
        </w:rPr>
        <w:t>Los docentes titulares en ejercicio al inicio del Plan 2027 conservan su cátedra en la asignatura equivalente, conforme al punto 16.1. La selección, la permanencia y el desarrollo del cuerpo docente se rigen por los siguientes mecanismos:</w:t>
      </w:r>
    </w:p>
    <w:p>
      <w:pPr>
        <w:numPr>
          <w:ilvl w:val="0"/>
          <w:numId w:val="902"/>
        </w:numPr>
        <w:spacing w:before="0" w:after="160" w:line="240" w:lineRule="auto"/>
        <w:jc w:val="both"/>
      </w:pPr>
      <w:r>
        <w:rPr>
          <w:rFonts w:ascii="Century Gothic" w:hAnsi="Century Gothic" w:cs="Century Gothic" w:eastAsia="Century Gothic"/>
          <w:b/>
          <w:i w:val="0"/>
          <w:sz w:val="20"/>
        </w:rPr>
        <w:t>Ingreso.</w:t>
      </w:r>
      <w:r>
        <w:rPr>
          <w:rFonts w:ascii="Century Gothic" w:hAnsi="Century Gothic" w:cs="Century Gothic" w:eastAsia="Century Gothic"/>
          <w:b w:val="0"/>
          <w:i w:val="0"/>
          <w:sz w:val="20"/>
        </w:rPr>
        <w:t xml:space="preserve"> Los docentes ordinarios se incorporan mediante convocatoria pública a concurso de méritos y examen de competencia ante comisiones evaluadoras paritarias, con términos de referencia adecuados al modelo por competencias que valoren la producción intelectual, la mediación pedagógica con tecnología y la trayectoria profesional.</w:t>
      </w:r>
    </w:p>
    <w:p>
      <w:pPr>
        <w:numPr>
          <w:ilvl w:val="0"/>
          <w:numId w:val="902"/>
        </w:numPr>
        <w:spacing w:before="0" w:after="160" w:line="240" w:lineRule="auto"/>
        <w:jc w:val="both"/>
      </w:pPr>
      <w:r>
        <w:rPr>
          <w:rFonts w:ascii="Century Gothic" w:hAnsi="Century Gothic" w:cs="Century Gothic" w:eastAsia="Century Gothic"/>
          <w:b/>
          <w:i w:val="0"/>
          <w:sz w:val="20"/>
        </w:rPr>
        <w:t>Capacitación continua.</w:t>
      </w:r>
      <w:r>
        <w:rPr>
          <w:rFonts w:ascii="Century Gothic" w:hAnsi="Century Gothic" w:cs="Century Gothic" w:eastAsia="Century Gothic"/>
          <w:b w:val="0"/>
          <w:i w:val="0"/>
          <w:sz w:val="20"/>
        </w:rPr>
        <w:t xml:space="preserve"> La Dirección de Carrera, con las instancias universitarias, mantiene un programa permanente y obligatorio de actualización, descrito en el Cuadro 10.</w:t>
      </w:r>
    </w:p>
    <w:p>
      <w:pPr>
        <w:numPr>
          <w:ilvl w:val="0"/>
          <w:numId w:val="902"/>
        </w:numPr>
        <w:spacing w:before="0" w:after="160" w:line="240" w:lineRule="auto"/>
        <w:jc w:val="both"/>
      </w:pPr>
      <w:r>
        <w:rPr>
          <w:rFonts w:ascii="Century Gothic" w:hAnsi="Century Gothic" w:cs="Century Gothic" w:eastAsia="Century Gothic"/>
          <w:b/>
          <w:i w:val="0"/>
          <w:sz w:val="20"/>
        </w:rPr>
        <w:t>Evaluación del desempeño.</w:t>
      </w:r>
      <w:r>
        <w:rPr>
          <w:rFonts w:ascii="Century Gothic" w:hAnsi="Century Gothic" w:cs="Century Gothic" w:eastAsia="Century Gothic"/>
          <w:b w:val="0"/>
          <w:i w:val="0"/>
          <w:sz w:val="20"/>
        </w:rPr>
        <w:t xml:space="preserve"> Evaluación periódica con enfoque formativo que combina la opinión de los estudiantes, la autoevaluación y la observación entre pares, para identificar necesidades de actualización.</w:t>
      </w:r>
    </w:p>
    <w:p>
      <w:pPr>
        <w:numPr>
          <w:ilvl w:val="0"/>
          <w:numId w:val="902"/>
        </w:numPr>
        <w:spacing w:before="0" w:after="160" w:line="240" w:lineRule="auto"/>
        <w:jc w:val="both"/>
      </w:pPr>
      <w:r>
        <w:rPr>
          <w:rFonts w:ascii="Century Gothic" w:hAnsi="Century Gothic" w:cs="Century Gothic" w:eastAsia="Century Gothic"/>
          <w:b/>
          <w:i w:val="0"/>
          <w:sz w:val="20"/>
        </w:rPr>
        <w:t>Producción intelectual y tutoría.</w:t>
      </w:r>
      <w:r>
        <w:rPr>
          <w:rFonts w:ascii="Century Gothic" w:hAnsi="Century Gothic" w:cs="Century Gothic" w:eastAsia="Century Gothic"/>
          <w:b w:val="0"/>
          <w:i w:val="0"/>
          <w:sz w:val="20"/>
        </w:rPr>
        <w:t xml:space="preserve"> Se valoran la elaboración de guías de estudio, textos y artículos de investigación aplicada, y la dirección de trabajos dirigidos, proyectos de grado y tesis.</w:t>
      </w:r>
    </w:p>
    <w:p>
      <w:pPr>
        <w:numPr>
          <w:ilvl w:val="0"/>
          <w:numId w:val="902"/>
        </w:numPr>
        <w:spacing w:before="0" w:after="200" w:line="240" w:lineRule="auto"/>
        <w:jc w:val="both"/>
      </w:pPr>
      <w:r>
        <w:rPr>
          <w:rFonts w:ascii="Century Gothic" w:hAnsi="Century Gothic" w:cs="Century Gothic" w:eastAsia="Century Gothic"/>
          <w:b/>
          <w:i w:val="0"/>
          <w:sz w:val="20"/>
        </w:rPr>
        <w:t>Movilidad y vinculación profesional.</w:t>
      </w:r>
      <w:r>
        <w:rPr>
          <w:rFonts w:ascii="Century Gothic" w:hAnsi="Century Gothic" w:cs="Century Gothic" w:eastAsia="Century Gothic"/>
          <w:b w:val="0"/>
          <w:i w:val="0"/>
          <w:sz w:val="20"/>
        </w:rPr>
        <w:t xml:space="preserve"> Estancias cortas, proyectos de consultoría y talleres en otras universidades y en organizaciones profesionales, para transferir al aula los cambios normativos y tecnológicos.</w:t>
      </w:r>
    </w:p>
    <w:p>
      <w:pPr>
        <w:keepNext/>
        <w:spacing w:before="40" w:after="80" w:line="240" w:lineRule="auto"/>
        <w:jc w:val="center"/>
      </w:pPr>
      <w:r>
        <w:rPr>
          <w:rFonts w:ascii="Century Gothic" w:hAnsi="Century Gothic" w:cs="Century Gothic" w:eastAsia="Century Gothic"/>
          <w:b/>
          <w:i w:val="0"/>
          <w:sz w:val="20"/>
        </w:rPr>
        <w:t>Cuadro 10. Programa de actualización docente</w:t>
      </w:r>
    </w:p>
    <w:tbl>
      <w:tblPr>
        <w:tblW w:type="auto" w:w="0"/>
        <w:jc w:val="center"/>
        <w:tblLayout w:type="fixed"/>
        <w:tblLook w:firstColumn="1" w:firstRow="1" w:lastColumn="0" w:lastRow="0" w:noHBand="0" w:noVBand="1" w:val="04A0"/>
      </w:tblPr>
      <w:tblGrid>
        <w:gridCol w:w="2041"/>
        <w:gridCol w:w="5102"/>
        <w:gridCol w:w="1928"/>
      </w:tblGrid>
      <w:tr>
        <w:trPr>
          <w:tblHeader/>
        </w:trPr>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Eje</w:t>
            </w:r>
          </w:p>
        </w:tc>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Contenidos</w:t>
            </w:r>
          </w:p>
        </w:tc>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Momento</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Didáctica por competencias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Diseño de planes de asignatura por competencias, metodologías activas y evaluación auténtica</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Fase de preparación, antes de cada año de implementación</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Estándares internacionales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Normas NIIF de Contabilidad, NIIF para las PYMES, Normas NIIF de Sostenibilidad, pronunciamientos del IAASB y Código del IESBA</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Anual</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Tecnologías emergentes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Inteligencia artificial generativa, análisis de datos con Power BI y Python, sistemas ERP y auditoría asistida por computadora</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Anual</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Entornos virtuales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Uso pedagógico de la plataforma Moodle y de Microsoft Teams, y gestión del trabajo no presencial</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 inicio de cada gestión</w:t>
            </w:r>
          </w:p>
        </w:tc>
      </w:tr>
    </w:tbl>
    <w:p>
      <w:pPr>
        <w:spacing w:before="40" w:after="200" w:line="240" w:lineRule="auto"/>
        <w:jc w:val="left"/>
      </w:pPr>
      <w:r>
        <w:rPr>
          <w:rFonts w:ascii="Century Gothic" w:hAnsi="Century Gothic" w:cs="Century Gothic" w:eastAsia="Century Gothic"/>
          <w:b w:val="0"/>
          <w:i w:val="0"/>
          <w:sz w:val="16"/>
        </w:rPr>
        <w:t>Fuente: elaboración con base en el perfil docente y los requerimientos del Plan 2027.</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11.2.3</w:t>
        <w:tab/>
      </w:r>
      <w:r>
        <w:rPr>
          <w:rFonts w:ascii="Century Gothic" w:hAnsi="Century Gothic" w:cs="Century Gothic" w:eastAsia="Century Gothic"/>
          <w:b/>
          <w:i w:val="0"/>
          <w:sz w:val="22"/>
        </w:rPr>
        <w:t>Requerimientos de recursos humanos</w:t>
      </w:r>
    </w:p>
    <w:p>
      <w:pPr>
        <w:spacing w:before="0" w:after="200" w:line="240" w:lineRule="auto"/>
        <w:jc w:val="both"/>
      </w:pPr>
      <w:r>
        <w:rPr>
          <w:rFonts w:ascii="Century Gothic" w:hAnsi="Century Gothic" w:cs="Century Gothic" w:eastAsia="Century Gothic"/>
          <w:b w:val="0"/>
          <w:i w:val="0"/>
          <w:sz w:val="20"/>
        </w:rPr>
        <w:t>La implementación del Plan 2027 requiere las siguientes medidas:</w:t>
      </w:r>
    </w:p>
    <w:p>
      <w:pPr>
        <w:keepNext/>
        <w:spacing w:before="40" w:after="80" w:line="240" w:lineRule="auto"/>
        <w:jc w:val="center"/>
      </w:pPr>
      <w:r>
        <w:rPr>
          <w:rFonts w:ascii="Century Gothic" w:hAnsi="Century Gothic" w:cs="Century Gothic" w:eastAsia="Century Gothic"/>
          <w:b/>
          <w:i w:val="0"/>
          <w:sz w:val="20"/>
        </w:rPr>
        <w:t>Cuadro 11. Requerimientos de recursos humanos</w:t>
      </w:r>
    </w:p>
    <w:tbl>
      <w:tblPr>
        <w:tblW w:type="auto" w:w="0"/>
        <w:jc w:val="center"/>
        <w:tblLayout w:type="fixed"/>
        <w:tblLook w:firstColumn="1" w:firstRow="1" w:lastColumn="0" w:lastRow="0" w:noHBand="0" w:noVBand="1" w:val="04A0"/>
      </w:tblPr>
      <w:tblGrid>
        <w:gridCol w:w="2268"/>
        <w:gridCol w:w="5669"/>
        <w:gridCol w:w="1134"/>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Medida</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Detalle</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Plazo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Desdoblamiento de paralelos</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Apertura de 75 paralelos adicionales para alcanzar la meta intermedia de 80 estudiantes por paralelo, priorizando las asignaturas de primer y segundo año y los componentes prácticos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Inducción digital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Jornadas obligatorias al inicio de cada gestión para docentes y estudiantes sobre la plataforma virtual y las herramientas de gestión académica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Docentes titulares</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Convocatorias a concurso de méritos y examen de competencia, con prioridad en el área de Servicios de Aseguramiento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Tiempo completo</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Incremento progresivo de cargas de tiempo completo para la tutoría, la investigación y la coordinación de prácticas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Soporte técnico</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Unidad técnica de soporte informático académico con dedicación exclusiva para las redes, la plataforma virtual y los laboratorios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Auxiliares de docencia</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Ampliación de los ítems y cambio de su función hacia el apoyo pedagógico y la tutoría entre pares en las asignaturas troncales y los laboratorios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Instituto de Investigaciones</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Designación del Director del Instituto, acéfalo desde 2022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Personal administrativo</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Creación de ítems de planta para reducir la dependencia de personal contratado con recursos propios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Largo</w:t>
            </w:r>
          </w:p>
        </w:tc>
      </w:tr>
    </w:tbl>
    <w:p>
      <w:pPr>
        <w:spacing w:before="40" w:after="200" w:line="240" w:lineRule="auto"/>
        <w:jc w:val="left"/>
      </w:pPr>
      <w:r>
        <w:rPr>
          <w:rFonts w:ascii="Century Gothic" w:hAnsi="Century Gothic" w:cs="Century Gothic" w:eastAsia="Century Gothic"/>
          <w:b w:val="0"/>
          <w:i w:val="0"/>
          <w:sz w:val="16"/>
        </w:rPr>
        <w:t>Fuente: elaboración con base en el diagnóstico situacional y el punto 8.6.</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11.3</w:t>
        <w:tab/>
      </w:r>
      <w:r>
        <w:rPr>
          <w:rFonts w:ascii="Century Gothic" w:hAnsi="Century Gothic" w:cs="Century Gothic" w:eastAsia="Century Gothic"/>
          <w:b/>
          <w:i w:val="0"/>
          <w:sz w:val="24"/>
        </w:rPr>
        <w:t>Política presupuestaria y financiera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11.3.1</w:t>
        <w:tab/>
      </w:r>
      <w:r>
        <w:rPr>
          <w:rFonts w:ascii="Century Gothic" w:hAnsi="Century Gothic" w:cs="Century Gothic" w:eastAsia="Century Gothic"/>
          <w:b/>
          <w:i w:val="0"/>
          <w:sz w:val="22"/>
        </w:rPr>
        <w:t>Ejecución presupuestaria</w:t>
      </w:r>
    </w:p>
    <w:p>
      <w:pPr>
        <w:spacing w:before="0" w:after="200" w:line="240" w:lineRule="auto"/>
        <w:jc w:val="both"/>
      </w:pPr>
      <w:r>
        <w:rPr>
          <w:rFonts w:ascii="Century Gothic" w:hAnsi="Century Gothic" w:cs="Century Gothic" w:eastAsia="Century Gothic"/>
          <w:b w:val="0"/>
          <w:i w:val="0"/>
          <w:sz w:val="20"/>
        </w:rPr>
        <w:t>Para evaluar la capacidad financiera que respaldará la implementación del Plan 2027, se analizó la ejecución presupuestaria de gastos de la Carrera desde 2020:</w:t>
      </w:r>
    </w:p>
    <w:p>
      <w:pPr>
        <w:keepNext/>
        <w:spacing w:before="40" w:after="80" w:line="240" w:lineRule="auto"/>
        <w:jc w:val="center"/>
      </w:pPr>
      <w:r>
        <w:rPr>
          <w:rFonts w:ascii="Century Gothic" w:hAnsi="Century Gothic" w:cs="Century Gothic" w:eastAsia="Century Gothic"/>
          <w:b/>
          <w:i w:val="0"/>
          <w:sz w:val="20"/>
        </w:rPr>
        <w:t>Cuadro 12. Ejecución presupuestaria de gastos, 2020 a 2026</w:t>
      </w:r>
    </w:p>
    <w:tbl>
      <w:tblPr>
        <w:tblW w:type="auto" w:w="0"/>
        <w:jc w:val="center"/>
        <w:tblLayout w:type="fixed"/>
        <w:tblLook w:firstColumn="1" w:firstRow="1" w:lastColumn="0" w:lastRow="0" w:noHBand="0" w:noVBand="1" w:val="04A0"/>
      </w:tblPr>
      <w:tblGrid>
        <w:gridCol w:w="1134"/>
        <w:gridCol w:w="1701"/>
        <w:gridCol w:w="1587"/>
        <w:gridCol w:w="1701"/>
        <w:gridCol w:w="1587"/>
        <w:gridCol w:w="1361"/>
      </w:tblGrid>
      <w:tr>
        <w:trPr>
          <w:tblHeader/>
        </w:trPr>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Gestión</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Presupuesto inicial</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Modificación</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Presupuesto final</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Ejecución</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Nivel de ejecución</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741.710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128.458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870.168</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430.809</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49,5 %</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739.714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-424.582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315.132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227.188</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72,1 %</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631.506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-92.253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539.253</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340.545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63,2 %</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485.456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250.451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735.907</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425.012</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57,8 %</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381.339</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293.474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674.813</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515.074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76,3 %</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2025</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1.045.923</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1.644.717</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2.690.640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1.685.921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62,7 %</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938.362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1.416.418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2.354.780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1.913.411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81,3 %</w:t>
            </w:r>
          </w:p>
        </w:tc>
      </w:tr>
    </w:tbl>
    <w:p>
      <w:pPr>
        <w:spacing w:before="40" w:after="200" w:line="240" w:lineRule="auto"/>
        <w:jc w:val="left"/>
      </w:pPr>
      <w:r>
        <w:rPr>
          <w:rFonts w:ascii="Century Gothic" w:hAnsi="Century Gothic" w:cs="Century Gothic" w:eastAsia="Century Gothic"/>
          <w:b w:val="0"/>
          <w:i w:val="0"/>
          <w:sz w:val="16"/>
        </w:rPr>
        <w:t>Expresado en bolivianos. La ejecución de 2026 corresponde a la gestión en curso. Fuente: elaboración con base en la información de la Carrera de Contaduría Pública.</w:t>
      </w:r>
    </w:p>
    <w:p>
      <w:pPr>
        <w:spacing w:before="0" w:after="200" w:line="240" w:lineRule="auto"/>
        <w:jc w:val="both"/>
      </w:pPr>
      <w:r>
        <w:rPr>
          <w:rFonts w:ascii="Century Gothic" w:hAnsi="Century Gothic" w:cs="Century Gothic" w:eastAsia="Century Gothic"/>
          <w:b w:val="0"/>
          <w:i w:val="0"/>
          <w:sz w:val="20"/>
        </w:rPr>
        <w:t>Desde 2025, el presupuesto de la Carrera incluye las actividades del PETAENG y de los cursos de temporada, antes programadas por separado, lo que explica el aumento de los montos. Del análisis se desprende lo siguiente:</w:t>
      </w:r>
    </w:p>
    <w:p>
      <w:pPr>
        <w:numPr>
          <w:ilvl w:val="0"/>
          <w:numId w:val="903"/>
        </w:numPr>
        <w:spacing w:before="0" w:after="160" w:line="240" w:lineRule="auto"/>
        <w:jc w:val="both"/>
      </w:pPr>
      <w:r>
        <w:rPr>
          <w:rFonts w:ascii="Century Gothic" w:hAnsi="Century Gothic" w:cs="Century Gothic" w:eastAsia="Century Gothic"/>
          <w:b/>
          <w:i w:val="0"/>
          <w:sz w:val="20"/>
        </w:rPr>
        <w:t>Contracción del presupuesto inicial.</w:t>
      </w:r>
      <w:r>
        <w:rPr>
          <w:rFonts w:ascii="Century Gothic" w:hAnsi="Century Gothic" w:cs="Century Gothic" w:eastAsia="Century Gothic"/>
          <w:b w:val="0"/>
          <w:i w:val="0"/>
          <w:sz w:val="20"/>
        </w:rPr>
        <w:t xml:space="preserve"> Entre 2020 y 2024, el presupuesto inicial se redujo de Bs 741.710 a Bs 381.339, una caída del 48,6 %, lo que restringe el margen para cumplir las metas del Plan Estratégico Institucional.</w:t>
      </w:r>
    </w:p>
    <w:p>
      <w:pPr>
        <w:numPr>
          <w:ilvl w:val="0"/>
          <w:numId w:val="903"/>
        </w:numPr>
        <w:spacing w:before="0" w:after="160" w:line="240" w:lineRule="auto"/>
        <w:jc w:val="both"/>
      </w:pPr>
      <w:r>
        <w:rPr>
          <w:rFonts w:ascii="Century Gothic" w:hAnsi="Century Gothic" w:cs="Century Gothic" w:eastAsia="Century Gothic"/>
          <w:b/>
          <w:i w:val="0"/>
          <w:sz w:val="20"/>
        </w:rPr>
        <w:t>Modificaciones a la baja.</w:t>
      </w:r>
      <w:r>
        <w:rPr>
          <w:rFonts w:ascii="Century Gothic" w:hAnsi="Century Gothic" w:cs="Century Gothic" w:eastAsia="Century Gothic"/>
          <w:b w:val="0"/>
          <w:i w:val="0"/>
          <w:sz w:val="20"/>
        </w:rPr>
        <w:t xml:space="preserve"> En 2021 y 2022 el presupuesto final fue menor que el inicial, con reducciones de Bs 424.582 y Bs 92.253, lo que refleja debilidades en la formulación y en la defensa de los techos asignados.</w:t>
      </w:r>
    </w:p>
    <w:p>
      <w:pPr>
        <w:numPr>
          <w:ilvl w:val="0"/>
          <w:numId w:val="903"/>
        </w:numPr>
        <w:spacing w:before="0" w:after="200" w:line="240" w:lineRule="auto"/>
        <w:jc w:val="both"/>
      </w:pPr>
      <w:r>
        <w:rPr>
          <w:rFonts w:ascii="Century Gothic" w:hAnsi="Century Gothic" w:cs="Century Gothic" w:eastAsia="Century Gothic"/>
          <w:b/>
          <w:i w:val="0"/>
          <w:sz w:val="20"/>
        </w:rPr>
        <w:t>Ejecución insuficiente.</w:t>
      </w:r>
      <w:r>
        <w:rPr>
          <w:rFonts w:ascii="Century Gothic" w:hAnsi="Century Gothic" w:cs="Century Gothic" w:eastAsia="Century Gothic"/>
          <w:b w:val="0"/>
          <w:i w:val="0"/>
          <w:sz w:val="20"/>
        </w:rPr>
        <w:t xml:space="preserve"> Entre 2020 y 2025, el nivel de ejecución osciló entre 49,5 % y 76,3 %, con un promedio de 63,6 %. Esta baja capacidad de ejecución se debe a la rigidez administrativa y a las demoras en las contrataciones, y supone recursos disponibles que no llegan a convertirse en mejoras académicas.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11.3.2</w:t>
        <w:tab/>
      </w:r>
      <w:r>
        <w:rPr>
          <w:rFonts w:ascii="Century Gothic" w:hAnsi="Century Gothic" w:cs="Century Gothic" w:eastAsia="Century Gothic"/>
          <w:b/>
          <w:i w:val="0"/>
          <w:sz w:val="22"/>
        </w:rPr>
        <w:t>Lineamientos de la política presupuestaria</w:t>
      </w:r>
    </w:p>
    <w:p>
      <w:pPr>
        <w:spacing w:before="0" w:after="200" w:line="240" w:lineRule="auto"/>
        <w:jc w:val="both"/>
      </w:pPr>
      <w:r>
        <w:rPr>
          <w:rFonts w:ascii="Century Gothic" w:hAnsi="Century Gothic" w:cs="Century Gothic" w:eastAsia="Century Gothic"/>
          <w:b w:val="0"/>
          <w:i w:val="0"/>
          <w:sz w:val="20"/>
        </w:rPr>
        <w:t>La modernización curricular requiere recursos recurrentes para software especializado, actualización de laboratorios y ampliación de la carga horaria docente, que no pueden sostenerse con un presupuesto inercial y una ejecución baja. La política presupuestaria del Plan 2027 se rige por los siguientes lineamientos:</w:t>
      </w:r>
    </w:p>
    <w:p>
      <w:pPr>
        <w:numPr>
          <w:ilvl w:val="0"/>
          <w:numId w:val="904"/>
        </w:numPr>
        <w:spacing w:before="0" w:after="160" w:line="240" w:lineRule="auto"/>
        <w:jc w:val="both"/>
      </w:pPr>
      <w:r>
        <w:rPr>
          <w:rFonts w:ascii="Century Gothic" w:hAnsi="Century Gothic" w:cs="Century Gothic" w:eastAsia="Century Gothic"/>
          <w:b/>
          <w:i w:val="0"/>
          <w:sz w:val="20"/>
        </w:rPr>
        <w:t>Gradualidad.</w:t>
      </w:r>
      <w:r>
        <w:rPr>
          <w:rFonts w:ascii="Century Gothic" w:hAnsi="Century Gothic" w:cs="Century Gothic" w:eastAsia="Century Gothic"/>
          <w:b w:val="0"/>
          <w:i w:val="0"/>
          <w:sz w:val="20"/>
        </w:rPr>
        <w:t xml:space="preserve"> La implementación avanza año por año desde la primera cohorte, de modo que el gasto adicional se distribuye en cinco gestiones.</w:t>
      </w:r>
    </w:p>
    <w:p>
      <w:pPr>
        <w:numPr>
          <w:ilvl w:val="0"/>
          <w:numId w:val="904"/>
        </w:numPr>
        <w:spacing w:before="0" w:after="160" w:line="240" w:lineRule="auto"/>
        <w:jc w:val="both"/>
      </w:pPr>
      <w:r>
        <w:rPr>
          <w:rFonts w:ascii="Century Gothic" w:hAnsi="Century Gothic" w:cs="Century Gothic" w:eastAsia="Century Gothic"/>
          <w:b/>
          <w:i w:val="0"/>
          <w:sz w:val="20"/>
        </w:rPr>
        <w:t>Bajo costo marginal de la tecnología.</w:t>
      </w:r>
      <w:r>
        <w:rPr>
          <w:rFonts w:ascii="Century Gothic" w:hAnsi="Century Gothic" w:cs="Century Gothic" w:eastAsia="Century Gothic"/>
          <w:b w:val="0"/>
          <w:i w:val="0"/>
          <w:sz w:val="20"/>
        </w:rPr>
        <w:t xml:space="preserve"> Se priorizan las licencias académicas gratuitas, los programas de alianzas universitarias de los proveedores y el software de código abierto.</w:t>
      </w:r>
    </w:p>
    <w:p>
      <w:pPr>
        <w:numPr>
          <w:ilvl w:val="0"/>
          <w:numId w:val="904"/>
        </w:numPr>
        <w:spacing w:before="0" w:after="160" w:line="240" w:lineRule="auto"/>
        <w:jc w:val="both"/>
      </w:pPr>
      <w:r>
        <w:rPr>
          <w:rFonts w:ascii="Century Gothic" w:hAnsi="Century Gothic" w:cs="Century Gothic" w:eastAsia="Century Gothic"/>
          <w:b/>
          <w:i w:val="0"/>
          <w:sz w:val="20"/>
        </w:rPr>
        <w:t>Redistribución antes que expansión.</w:t>
      </w:r>
      <w:r>
        <w:rPr>
          <w:rFonts w:ascii="Century Gothic" w:hAnsi="Century Gothic" w:cs="Century Gothic" w:eastAsia="Century Gothic"/>
          <w:b w:val="0"/>
          <w:i w:val="0"/>
          <w:sz w:val="20"/>
        </w:rPr>
        <w:t xml:space="preserve"> Los cambios de carga horaria se realizan dentro de las 6.000 horas académicas del plan y del presupuesto de horas existente, antes de solicitar recursos nuevos.</w:t>
      </w:r>
    </w:p>
    <w:p>
      <w:pPr>
        <w:numPr>
          <w:ilvl w:val="0"/>
          <w:numId w:val="904"/>
        </w:numPr>
        <w:spacing w:before="0" w:after="160" w:line="240" w:lineRule="auto"/>
        <w:jc w:val="both"/>
      </w:pPr>
      <w:r>
        <w:rPr>
          <w:rFonts w:ascii="Century Gothic" w:hAnsi="Century Gothic" w:cs="Century Gothic" w:eastAsia="Century Gothic"/>
          <w:b/>
          <w:i w:val="0"/>
          <w:sz w:val="20"/>
        </w:rPr>
        <w:t>Presupuesto por resultados.</w:t>
      </w:r>
      <w:r>
        <w:rPr>
          <w:rFonts w:ascii="Century Gothic" w:hAnsi="Century Gothic" w:cs="Century Gothic" w:eastAsia="Century Gothic"/>
          <w:b w:val="0"/>
          <w:i w:val="0"/>
          <w:sz w:val="20"/>
        </w:rPr>
        <w:t xml:space="preserve"> Cada requerimiento académico, como las horas para desdoblamiento de paralelos, los laboratorios y las prácticas, se vincula con metas e indicadores del Plan Operativo Anual y del Plan Estratégico Institucional, lo que fundamenta su defensa ante las instancias universitarias.</w:t>
      </w:r>
    </w:p>
    <w:p>
      <w:pPr>
        <w:numPr>
          <w:ilvl w:val="0"/>
          <w:numId w:val="904"/>
        </w:numPr>
        <w:spacing w:before="0" w:after="160" w:line="240" w:lineRule="auto"/>
        <w:jc w:val="both"/>
      </w:pPr>
      <w:r>
        <w:rPr>
          <w:rFonts w:ascii="Century Gothic" w:hAnsi="Century Gothic" w:cs="Century Gothic" w:eastAsia="Century Gothic"/>
          <w:b/>
          <w:i w:val="0"/>
          <w:sz w:val="20"/>
        </w:rPr>
        <w:t>Partidas protegidas.</w:t>
      </w:r>
      <w:r>
        <w:rPr>
          <w:rFonts w:ascii="Century Gothic" w:hAnsi="Century Gothic" w:cs="Century Gothic" w:eastAsia="Century Gothic"/>
          <w:b w:val="0"/>
          <w:i w:val="0"/>
          <w:sz w:val="20"/>
        </w:rPr>
        <w:t xml:space="preserve"> El Plan Operativo Anual incluye partidas específicas para el mantenimiento preventivo y correctivo de equipos, conectividad y aulas, y para la capacitación docente.</w:t>
      </w:r>
    </w:p>
    <w:p>
      <w:pPr>
        <w:numPr>
          <w:ilvl w:val="0"/>
          <w:numId w:val="904"/>
        </w:numPr>
        <w:spacing w:before="0" w:after="200" w:line="240" w:lineRule="auto"/>
        <w:jc w:val="both"/>
      </w:pPr>
      <w:r>
        <w:rPr>
          <w:rFonts w:ascii="Century Gothic" w:hAnsi="Century Gothic" w:cs="Century Gothic" w:eastAsia="Century Gothic"/>
          <w:b/>
          <w:i w:val="0"/>
          <w:sz w:val="20"/>
        </w:rPr>
        <w:t>Seguimiento y rendición de cuentas.</w:t>
      </w:r>
      <w:r>
        <w:rPr>
          <w:rFonts w:ascii="Century Gothic" w:hAnsi="Century Gothic" w:cs="Century Gothic" w:eastAsia="Century Gothic"/>
          <w:b w:val="0"/>
          <w:i w:val="0"/>
          <w:sz w:val="20"/>
        </w:rPr>
        <w:t xml:space="preserve"> Una comisión técnica de la Carrera realiza el seguimiento mensual de la ejecución física y financiera para detectar demoras en las compras y contrataciones; una instancia con participación docente y estudiantil verifica el cumplimiento de los hitos de inversión; y la Carrera presenta anualmente ante la comunidad universitaria los resultados de la ejecución frente a los avances académicos.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11.3.3</w:t>
        <w:tab/>
      </w:r>
      <w:r>
        <w:rPr>
          <w:rFonts w:ascii="Century Gothic" w:hAnsi="Century Gothic" w:cs="Century Gothic" w:eastAsia="Century Gothic"/>
          <w:b/>
          <w:i w:val="0"/>
          <w:sz w:val="22"/>
        </w:rPr>
        <w:t>Fuentes de financiamiento</w:t>
      </w:r>
    </w:p>
    <w:p>
      <w:pPr>
        <w:keepNext/>
        <w:spacing w:before="40" w:after="80" w:line="240" w:lineRule="auto"/>
        <w:jc w:val="center"/>
      </w:pPr>
      <w:r>
        <w:rPr>
          <w:rFonts w:ascii="Century Gothic" w:hAnsi="Century Gothic" w:cs="Century Gothic" w:eastAsia="Century Gothic"/>
          <w:b/>
          <w:i w:val="0"/>
          <w:sz w:val="20"/>
        </w:rPr>
        <w:t>Cuadro 13. Fuentes de financiamiento complementario</w:t>
      </w:r>
    </w:p>
    <w:tbl>
      <w:tblPr>
        <w:tblW w:type="auto" w:w="0"/>
        <w:jc w:val="center"/>
        <w:tblLayout w:type="fixed"/>
        <w:tblLook w:firstColumn="1" w:firstRow="1" w:lastColumn="0" w:lastRow="0" w:noHBand="0" w:noVBand="1" w:val="04A0"/>
      </w:tblPr>
      <w:tblGrid>
        <w:gridCol w:w="2041"/>
        <w:gridCol w:w="4195"/>
        <w:gridCol w:w="2835"/>
      </w:tblGrid>
      <w:tr>
        <w:trPr>
          <w:tblHeader/>
        </w:trPr>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Fuente</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Mecanismo</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Destino prioritario</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Presupuesto ordinario de la UMSA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Programación plurianual por resultados vinculada al Plan Operativo Anual</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Carga horaria docente, mantenimiento y capacitación</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Recursos propios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Programas de formación continua, diplomados y servicios de consultoría y peritaje contable y tributario a pequeñas y medianas empresas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Mantenimiento y actualización de laboratorios</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Recursos de inversión universitaria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Postulación a fondos concursables y a recursos del Impuesto Directo a los Hidrocarburos destinados a la modernización académica e investigación</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Reequipamiento tecnológico e infraestructura digital</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Alianzas con proveedores de software y firmas de auditoría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Programas de alianzas universitarias que otorgan acceso educativo a sistemas ERP, inteligencia de negocios y análisis de datos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Software profesional</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Convenios con el sector financiero, entidades públicas y colegios profesionales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Acuerdos marco que retribuyen la provisión de pasantes con certificaciones, seminarios o apoyo tecnológico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Prácticas preprofesionales y capacitación</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Cooperación internacional</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Proyectos ante agencias de cooperación para la transformación digital de la enseñanza y la formación en normas internacionales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Equipamiento y capacitación</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Graduados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Red de graduados que canaliza auspicios y donaciones de equipamiento para aulas temáticas y salas de simulación</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Espacios colaborativos</w:t>
            </w:r>
          </w:p>
        </w:tc>
      </w:tr>
    </w:tbl>
    <w:p>
      <w:pPr>
        <w:spacing w:before="40" w:after="200" w:line="240" w:lineRule="auto"/>
        <w:jc w:val="left"/>
      </w:pPr>
      <w:r>
        <w:rPr>
          <w:rFonts w:ascii="Century Gothic" w:hAnsi="Century Gothic" w:cs="Century Gothic" w:eastAsia="Century Gothic"/>
          <w:b w:val="0"/>
          <w:i w:val="0"/>
          <w:sz w:val="16"/>
        </w:rPr>
        <w:t>Fuente: elaboración con base en el diagnóstico situacional.</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11.3.4</w:t>
        <w:tab/>
      </w:r>
      <w:r>
        <w:rPr>
          <w:rFonts w:ascii="Century Gothic" w:hAnsi="Century Gothic" w:cs="Century Gothic" w:eastAsia="Century Gothic"/>
          <w:b/>
          <w:i w:val="0"/>
          <w:sz w:val="22"/>
        </w:rPr>
        <w:t>Fases de implementación y gestión de riesgos</w:t>
      </w:r>
    </w:p>
    <w:p>
      <w:pPr>
        <w:keepNext/>
        <w:spacing w:before="40" w:after="80" w:line="240" w:lineRule="auto"/>
        <w:jc w:val="center"/>
      </w:pPr>
      <w:r>
        <w:rPr>
          <w:rFonts w:ascii="Century Gothic" w:hAnsi="Century Gothic" w:cs="Century Gothic" w:eastAsia="Century Gothic"/>
          <w:b/>
          <w:i w:val="0"/>
          <w:sz w:val="20"/>
        </w:rPr>
        <w:t>Cuadro 14. Fases de implementación</w:t>
      </w:r>
    </w:p>
    <w:tbl>
      <w:tblPr>
        <w:tblW w:type="auto" w:w="0"/>
        <w:jc w:val="center"/>
        <w:tblLayout w:type="fixed"/>
        <w:tblLook w:firstColumn="1" w:firstRow="1" w:lastColumn="0" w:lastRow="0" w:noHBand="0" w:noVBand="1" w:val="04A0"/>
      </w:tblPr>
      <w:tblGrid>
        <w:gridCol w:w="2381"/>
        <w:gridCol w:w="6690"/>
      </w:tblGrid>
      <w:tr>
        <w:trPr>
          <w:tblHeader/>
        </w:trPr>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Fase</w:t>
            </w:r>
          </w:p>
        </w:tc>
        <w:tc>
          <w:tcPr>
            <w:tcW w:type="dxa" w:w="669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Acciones principales</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0. Aprobación</w:t>
            </w:r>
          </w:p>
        </w:tc>
        <w:tc>
          <w:tcPr>
            <w:tcW w:type="dxa" w:w="66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Evaluación por la Secretaría Académica, revisión del Consejo Académico Universitario, aprobación del Honorable Consejo Universitario y aprobación del cuadro de convalidación</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 Preparación</w:t>
            </w:r>
          </w:p>
        </w:tc>
        <w:tc>
          <w:tcPr>
            <w:tcW w:type="dxa" w:w="66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Capacitación docente en competencias, nuevas normas y herramientas; habilitación de los laboratorios; suscripción de los convenios iniciales</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 Implementación progresiva</w:t>
            </w:r>
          </w:p>
        </w:tc>
        <w:tc>
          <w:tcPr>
            <w:tcW w:type="dxa" w:w="66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Ingreso de la primera cohorte en 2027 e implementación año por año hasta el quinto año en 2031; prácticas desde el tercer año; complementación curricular anual conforme al Artículo 7 de la Resolución HCU N.º 032/2025</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 Extinción del Plan 2013</w:t>
            </w:r>
          </w:p>
        </w:tc>
        <w:tc>
          <w:tcPr>
            <w:tcW w:type="dxa" w:w="66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Continuidad de las cohortes vigentes hasta su conclusión, convalidación para quienes migren y garantía de no perjuicio, conforme al punto 16</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 Evaluación</w:t>
            </w:r>
          </w:p>
        </w:tc>
        <w:tc>
          <w:tcPr>
            <w:tcW w:type="dxa" w:w="66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Seguimiento de titulados y observatorio de graduados y empleadores, conforme al punto 12</w:t>
            </w:r>
          </w:p>
        </w:tc>
      </w:tr>
    </w:tbl>
    <w:p>
      <w:pPr>
        <w:spacing w:before="40" w:after="200" w:line="240" w:lineRule="auto"/>
        <w:jc w:val="left"/>
      </w:pPr>
      <w:r>
        <w:rPr>
          <w:rFonts w:ascii="Century Gothic" w:hAnsi="Century Gothic" w:cs="Century Gothic" w:eastAsia="Century Gothic"/>
          <w:b w:val="0"/>
          <w:i w:val="0"/>
          <w:sz w:val="16"/>
        </w:rPr>
        <w:t>Fuente: elaboración con base en la Resolución HCU N.º 032/2025.</w:t>
      </w:r>
    </w:p>
    <w:p>
      <w:pPr>
        <w:keepNext/>
        <w:spacing w:before="40" w:after="80" w:line="240" w:lineRule="auto"/>
        <w:jc w:val="center"/>
      </w:pPr>
      <w:r>
        <w:rPr>
          <w:rFonts w:ascii="Century Gothic" w:hAnsi="Century Gothic" w:cs="Century Gothic" w:eastAsia="Century Gothic"/>
          <w:b/>
          <w:i w:val="0"/>
          <w:sz w:val="20"/>
        </w:rPr>
        <w:t>Cuadro 15. Riesgos de implementación y medidas de mitigación</w:t>
      </w:r>
    </w:p>
    <w:tbl>
      <w:tblPr>
        <w:tblW w:type="auto" w:w="0"/>
        <w:jc w:val="center"/>
        <w:tblLayout w:type="fixed"/>
        <w:tblLook w:firstColumn="1" w:firstRow="1" w:lastColumn="0" w:lastRow="0" w:noHBand="0" w:noVBand="1" w:val="04A0"/>
      </w:tblPr>
      <w:tblGrid>
        <w:gridCol w:w="2324"/>
        <w:gridCol w:w="1531"/>
        <w:gridCol w:w="1077"/>
        <w:gridCol w:w="4139"/>
      </w:tblGrid>
      <w:tr>
        <w:trPr>
          <w:tblHeader/>
        </w:trPr>
        <w:tc>
          <w:tcPr>
            <w:tcW w:type="dxa" w:w="23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Riesgo</w:t>
            </w:r>
          </w:p>
        </w:tc>
        <w:tc>
          <w:tcPr>
            <w:tcW w:type="dxa" w:w="153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Probabilidad</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Impacto</w:t>
            </w:r>
          </w:p>
        </w:tc>
        <w:tc>
          <w:tcPr>
            <w:tcW w:type="dxa" w:w="413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Mitigación</w:t>
            </w:r>
          </w:p>
        </w:tc>
      </w:tr>
      <w:tr>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Restricción presupuestaria por el ajuste fiscal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Alto</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Gradualidad, software sin costo de licencia, redistribución horaria y alianzas</w:t>
            </w:r>
          </w:p>
        </w:tc>
      </w:tr>
      <w:tr>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Resistencia al cambio de modelo pedagógico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Alto</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Capacitación docente previa, acompañamiento y socialización participativa</w:t>
            </w:r>
          </w:p>
        </w:tc>
      </w:tr>
      <w:tr>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Insuficiencia de convenios para prácticas</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Alto</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Unidad de vinculación, sector público como receptor y convenio marco con el Colegio de Auditores o Contadores Públicos</w:t>
            </w:r>
          </w:p>
        </w:tc>
      </w:tr>
      <w:tr>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Masificación persistente</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Alto</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Desdoblamiento de componentes prácticos, auxiliares de docencia y trabajo no presencial con seguimiento en la plataforma virtual</w:t>
            </w:r>
          </w:p>
        </w:tc>
      </w:tr>
      <w:tr>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Abandono por presión económica</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Medio</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Turno nocturno, organización modular y tutoría académica</w:t>
            </w:r>
          </w:p>
        </w:tc>
      </w:tr>
      <w:tr>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Obsolescencia de contenidos tecnológicos</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Medio</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Complementación curricular anual y observatorio de graduados y empleadores</w:t>
            </w:r>
          </w:p>
        </w:tc>
      </w:tr>
      <w:tr>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Baja ejecución presupuestaria</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Alto</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Seguimiento mensual de la ejecución, planificación anticipada de compras y rendición anual de cuentas</w:t>
            </w:r>
          </w:p>
        </w:tc>
      </w:tr>
    </w:tbl>
    <w:p>
      <w:pPr>
        <w:spacing w:before="40" w:after="200" w:line="240" w:lineRule="auto"/>
        <w:jc w:val="left"/>
      </w:pPr>
      <w:r>
        <w:rPr>
          <w:rFonts w:ascii="Century Gothic" w:hAnsi="Century Gothic" w:cs="Century Gothic" w:eastAsia="Century Gothic"/>
          <w:b w:val="0"/>
          <w:i w:val="0"/>
          <w:sz w:val="16"/>
        </w:rPr>
        <w:t>Fuente: elaboración con base en el diagnóstico situacional.</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2"/>
    <w:lvlOverride w:ilvl="0">
      <w:startOverride w:val="1"/>
    </w:lvlOverride>
  </w:num>
  <w:num w:numId="902">
    <w:abstractNumId w:val="900"/>
    <w:lvlOverride w:ilvl="0">
      <w:startOverride w:val="1"/>
    </w:lvlOverride>
  </w:num>
  <w:num w:numId="903">
    <w:abstractNumId w:val="900"/>
    <w:lvlOverride w:ilvl="0">
      <w:startOverride w:val="1"/>
    </w:lvlOverride>
  </w:num>
  <w:num w:numId="904">
    <w:abstractNumId w:val="9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