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entury Gothic" w:hAnsi="Century Gothic" w:cs="Century Gothic" w:eastAsia="Century Gothic"/>
          <w:b/>
          <w:i w:val="0"/>
          <w:sz w:val="28"/>
        </w:rPr>
        <w:t>Diseño Curricular</w:t>
      </w:r>
    </w:p>
    <w:p>
      <w:pPr>
        <w:spacing w:before="0" w:after="360" w:line="240" w:lineRule="auto"/>
        <w:jc w:val="center"/>
      </w:pPr>
      <w:r>
        <w:rPr>
          <w:rFonts w:ascii="Century Gothic" w:hAnsi="Century Gothic" w:cs="Century Gothic" w:eastAsia="Century Gothic"/>
          <w:b/>
          <w:i w:val="0"/>
          <w:sz w:val="28"/>
        </w:rPr>
        <w:t>Material Bibliográfico</w:t>
      </w:r>
    </w:p>
    <w:p>
      <w:pPr>
        <w:keepNext/>
        <w:tabs>
          <w:tab w:pos="709" w:val="left"/>
        </w:tabs>
        <w:spacing w:before="160" w:after="200" w:line="240" w:lineRule="auto"/>
        <w:ind w:left="709" w:hanging="709"/>
        <w:jc w:val="left"/>
      </w:pPr>
      <w:r>
        <w:rPr>
          <w:rFonts w:ascii="Century Gothic" w:hAnsi="Century Gothic" w:cs="Century Gothic" w:eastAsia="Century Gothic"/>
          <w:b/>
          <w:i w:val="0"/>
          <w:sz w:val="24"/>
        </w:rPr>
        <w:t>9.</w:t>
        <w:tab/>
      </w:r>
      <w:r>
        <w:rPr>
          <w:rFonts w:ascii="Century Gothic" w:hAnsi="Century Gothic" w:cs="Century Gothic" w:eastAsia="Century Gothic"/>
          <w:b/>
          <w:i w:val="0"/>
          <w:sz w:val="24"/>
        </w:rPr>
        <w:t>Material bibliográfico</w:t>
      </w:r>
    </w:p>
    <w:p>
      <w:pPr>
        <w:spacing w:before="0" w:after="200" w:line="240" w:lineRule="auto"/>
        <w:jc w:val="both"/>
      </w:pPr>
      <w:r>
        <w:rPr>
          <w:rFonts w:ascii="Century Gothic" w:hAnsi="Century Gothic" w:cs="Century Gothic" w:eastAsia="Century Gothic"/>
          <w:b w:val="0"/>
          <w:i w:val="0"/>
          <w:sz w:val="20"/>
        </w:rPr>
        <w:t>Este punto evalúa la suficiencia del material bibliográfico de la Carrera para el Plan de Estudios 2027. Se basa en el acervo de la Biblioteca de la Carrera registrado en el Diagnóstico 2026, en el listado bibliográfico por asignatura y en el listado de trabajos de grado obtenidos del catálogo de la Biblioteca, y en los recursos de información en línea a los que tienen acceso docentes y estudiantes. El listado completo, consolidado por asignatura del Plan 2027, se presenta en el anexo de este punto.</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9.1</w:t>
        <w:tab/>
      </w:r>
      <w:r>
        <w:rPr>
          <w:rFonts w:ascii="Century Gothic" w:hAnsi="Century Gothic" w:cs="Century Gothic" w:eastAsia="Century Gothic"/>
          <w:b/>
          <w:i w:val="0"/>
          <w:sz w:val="24"/>
        </w:rPr>
        <w:t>Textos físicos y digitales (suficiencia cuantitativa y cualitativa)</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9.1.1</w:t>
        <w:tab/>
      </w:r>
      <w:r>
        <w:rPr>
          <w:rFonts w:ascii="Century Gothic" w:hAnsi="Century Gothic" w:cs="Century Gothic" w:eastAsia="Century Gothic"/>
          <w:b/>
          <w:i w:val="0"/>
          <w:sz w:val="22"/>
        </w:rPr>
        <w:t>Acervo de la Biblioteca de la Carrera</w:t>
      </w:r>
    </w:p>
    <w:p>
      <w:pPr>
        <w:spacing w:before="0" w:after="200" w:line="240" w:lineRule="auto"/>
        <w:jc w:val="both"/>
      </w:pPr>
      <w:r>
        <w:rPr>
          <w:rFonts w:ascii="Century Gothic" w:hAnsi="Century Gothic" w:cs="Century Gothic" w:eastAsia="Century Gothic"/>
          <w:b w:val="0"/>
          <w:i w:val="0"/>
          <w:sz w:val="20"/>
        </w:rPr>
        <w:t>La Biblioteca de la Carrera funciona en el Edificio Nava Morales, con una sala de lectura para 90 estudiantes, dos bibliotecarios de planta, el Sistema Integrado de Gestión Bibliotecaria KOHA y control biométrico de usuarios. Su acervo es el siguiente:</w:t>
      </w:r>
    </w:p>
    <w:p>
      <w:pPr>
        <w:keepNext/>
        <w:spacing w:before="40" w:after="80" w:line="240" w:lineRule="auto"/>
        <w:jc w:val="center"/>
      </w:pPr>
      <w:r>
        <w:rPr>
          <w:rFonts w:ascii="Century Gothic" w:hAnsi="Century Gothic" w:cs="Century Gothic" w:eastAsia="Century Gothic"/>
          <w:b/>
          <w:i w:val="0"/>
          <w:sz w:val="20"/>
        </w:rPr>
        <w:t>Cuadro 1. Acervo de la Biblioteca de la Carrera</w:t>
      </w:r>
    </w:p>
    <w:tbl>
      <w:tblPr>
        <w:tblW w:type="auto" w:w="0"/>
        <w:jc w:val="center"/>
        <w:tblLayout w:type="fixed"/>
        <w:tblLook w:firstColumn="1" w:firstRow="1" w:lastColumn="0" w:lastRow="0" w:noHBand="0" w:noVBand="1" w:val="04A0"/>
      </w:tblPr>
      <w:tblGrid>
        <w:gridCol w:w="3628"/>
        <w:gridCol w:w="2381"/>
        <w:gridCol w:w="2835"/>
      </w:tblGrid>
      <w:tr>
        <w:trPr>
          <w:tblHeader/>
        </w:trPr>
        <w:tc>
          <w:tcPr>
            <w:tcW w:type="dxa" w:w="362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Tipo de documento</w:t>
            </w:r>
          </w:p>
        </w:tc>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Diagnóstico 2026</w:t>
            </w:r>
          </w:p>
        </w:tc>
        <w:tc>
          <w:tcPr>
            <w:tcW w:type="dxa" w:w="28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Catálogo de la Biblioteca</w:t>
            </w:r>
          </w:p>
        </w:tc>
      </w:tr>
      <w:tr>
        <w:tc>
          <w:tcPr>
            <w:tcW w:type="dxa" w:w="36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Libros de texto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6.173</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3.108 ejemplares asignados</w:t>
            </w:r>
          </w:p>
        </w:tc>
      </w:tr>
      <w:tr>
        <w:tc>
          <w:tcPr>
            <w:tcW w:type="dxa" w:w="36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Tesis de grado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87</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63</w:t>
            </w:r>
          </w:p>
        </w:tc>
      </w:tr>
      <w:tr>
        <w:tc>
          <w:tcPr>
            <w:tcW w:type="dxa" w:w="36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Proyectos de grado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668</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619</w:t>
            </w:r>
          </w:p>
        </w:tc>
      </w:tr>
      <w:tr>
        <w:tc>
          <w:tcPr>
            <w:tcW w:type="dxa" w:w="36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Trabajos dirigidos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1.530</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1.710</w:t>
            </w:r>
          </w:p>
        </w:tc>
      </w:tr>
      <w:tr>
        <w:tc>
          <w:tcPr>
            <w:tcW w:type="dxa" w:w="36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Memorias del PETAENG</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428</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428</w:t>
            </w:r>
          </w:p>
        </w:tc>
      </w:tr>
      <w:tr>
        <w:tc>
          <w:tcPr>
            <w:tcW w:type="dxa" w:w="36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Monografías de diplomado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Sin dato</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106</w:t>
            </w:r>
          </w:p>
        </w:tc>
      </w:tr>
      <w:tr>
        <w:tc>
          <w:tcPr>
            <w:tcW w:type="dxa" w:w="36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Tesis de maestría</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108</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109</w:t>
            </w:r>
          </w:p>
        </w:tc>
      </w:tr>
      <w:tr>
        <w:tc>
          <w:tcPr>
            <w:tcW w:type="dxa" w:w="36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Tesis de doctorado</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Sin dato</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w:t>
            </w:r>
          </w:p>
        </w:tc>
      </w:tr>
      <w:tr>
        <w:tc>
          <w:tcPr>
            <w:tcW w:type="dxa" w:w="36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Total de trabajos académicos</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2.821</w:t>
            </w:r>
          </w:p>
        </w:tc>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i w:val="0"/>
                <w:sz w:val="20"/>
              </w:rPr>
              <w:t>3.036</w:t>
            </w:r>
          </w:p>
        </w:tc>
      </w:tr>
    </w:tbl>
    <w:p>
      <w:pPr>
        <w:spacing w:before="40" w:after="200" w:line="240" w:lineRule="auto"/>
        <w:jc w:val="left"/>
      </w:pPr>
      <w:r>
        <w:rPr>
          <w:rFonts w:ascii="Century Gothic" w:hAnsi="Century Gothic" w:cs="Century Gothic" w:eastAsia="Century Gothic"/>
          <w:b w:val="0"/>
          <w:i w:val="0"/>
          <w:sz w:val="16"/>
        </w:rPr>
        <w:t>Fuente: Diagnóstico de la Carrera de Contaduría Pública 2026 y catálogo KOHA de la Biblioteca de la Carrera.</w:t>
      </w:r>
    </w:p>
    <w:p>
      <w:pPr>
        <w:spacing w:before="0" w:after="200" w:line="240" w:lineRule="auto"/>
        <w:jc w:val="both"/>
      </w:pPr>
      <w:r>
        <w:rPr>
          <w:rFonts w:ascii="Century Gothic" w:hAnsi="Century Gothic" w:cs="Century Gothic" w:eastAsia="Century Gothic"/>
          <w:b w:val="0"/>
          <w:i w:val="0"/>
          <w:sz w:val="20"/>
        </w:rPr>
        <w:t>Las diferencias entre ambas columnas se deben a que el catálogo incluye registros incorporados después del corte del Diagnóstico y a criterios distintos de clasificación de las modalidades de graduación. El Plan 2024 consignaba 5.702 libros y 3.046 trabajos académicos, lo que muestra un crecimiento moderado del acervo de libros. Los trabajos de grado constituyen una fuente valiosa de casos nacionales para la investigación formativa y para la asignatura CPA-510 Taller de Grado.</w:t>
      </w:r>
    </w:p>
    <w:p>
      <w:pPr>
        <w:spacing w:before="0" w:after="200" w:line="240" w:lineRule="auto"/>
        <w:jc w:val="both"/>
      </w:pPr>
      <w:r>
        <w:rPr>
          <w:rFonts w:ascii="Century Gothic" w:hAnsi="Century Gothic" w:cs="Century Gothic" w:eastAsia="Century Gothic"/>
          <w:b w:val="0"/>
          <w:i w:val="0"/>
          <w:sz w:val="20"/>
        </w:rPr>
        <w:t>En cuanto a los textos digitales, la Biblioteca forma parte de la biblioteca digital universitaria mediante el repositorio institucional de la UMSA, que ofrece documentos a texto completo; el Plan 2024 registró 2.806 documentos digitales de la Carrera en ese repositorio. A ello se suman las normas internacionales de contabilidad, aseguramiento y ética que se consultan en formato digital, descritas en el punto 9.2.</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9.1.2</w:t>
        <w:tab/>
      </w:r>
      <w:r>
        <w:rPr>
          <w:rFonts w:ascii="Century Gothic" w:hAnsi="Century Gothic" w:cs="Century Gothic" w:eastAsia="Century Gothic"/>
          <w:b/>
          <w:i w:val="0"/>
          <w:sz w:val="22"/>
        </w:rPr>
        <w:t>Suficiencia cuantitativa por asignatura</w:t>
      </w:r>
    </w:p>
    <w:p>
      <w:pPr>
        <w:spacing w:before="0" w:after="200" w:line="240" w:lineRule="auto"/>
        <w:jc w:val="both"/>
      </w:pPr>
      <w:r>
        <w:rPr>
          <w:rFonts w:ascii="Century Gothic" w:hAnsi="Century Gothic" w:cs="Century Gothic" w:eastAsia="Century Gothic"/>
          <w:b w:val="0"/>
          <w:i w:val="0"/>
          <w:sz w:val="20"/>
        </w:rPr>
        <w:t xml:space="preserve">El listado del catálogo asigna 3.108 ejemplares a las asignaturas. Para este análisis, las siglas del Plan 2013 se trasladaron a las asignaturas equivalentes del Plan 2027: Métodos y Técnicas de Investigación pasa a CPA-204; Sistemas de Información, a CPA-102; Sistemas de Contabilidad Automatizados, a CPA-305; Diseño e Implantación de Sistemas de Contabilidad, a CPA-404; Finanzas y Finanzas Corporativas, a CPA-405; Ética Profesional, a CPA-406; Seminario de Grado, a CPA-510 Taller de Grado; y Matemáticas Actuariales, a MAT-401, conforme a la tabla de convalidación del punto 16.1. La vigencia se clasificó como </w:t>
      </w:r>
      <w:r>
        <w:rPr>
          <w:rFonts w:ascii="Century Gothic" w:hAnsi="Century Gothic" w:cs="Century Gothic" w:eastAsia="Century Gothic"/>
          <w:b/>
          <w:i w:val="0"/>
          <w:sz w:val="20"/>
        </w:rPr>
        <w:t>actualizada</w:t>
      </w:r>
      <w:r>
        <w:rPr>
          <w:rFonts w:ascii="Century Gothic" w:hAnsi="Century Gothic" w:cs="Century Gothic" w:eastAsia="Century Gothic"/>
          <w:b w:val="0"/>
          <w:i w:val="0"/>
          <w:sz w:val="20"/>
        </w:rPr>
        <w:t xml:space="preserve"> cuando la asignatura cuenta con al menos cinco ejemplares editados desde 2015 y una edición de 2020 o posterior; </w:t>
      </w:r>
      <w:r>
        <w:rPr>
          <w:rFonts w:ascii="Century Gothic" w:hAnsi="Century Gothic" w:cs="Century Gothic" w:eastAsia="Century Gothic"/>
          <w:b/>
          <w:i w:val="0"/>
          <w:sz w:val="20"/>
        </w:rPr>
        <w:t>por actualizar</w:t>
      </w:r>
      <w:r>
        <w:rPr>
          <w:rFonts w:ascii="Century Gothic" w:hAnsi="Century Gothic" w:cs="Century Gothic" w:eastAsia="Century Gothic"/>
          <w:b w:val="0"/>
          <w:i w:val="0"/>
          <w:sz w:val="20"/>
        </w:rPr>
        <w:t xml:space="preserve"> cuando tiene menos de cinco ejemplares recientes o su edición más reciente es anterior a 2020; y </w:t>
      </w:r>
      <w:r>
        <w:rPr>
          <w:rFonts w:ascii="Century Gothic" w:hAnsi="Century Gothic" w:cs="Century Gothic" w:eastAsia="Century Gothic"/>
          <w:b/>
          <w:i w:val="0"/>
          <w:sz w:val="20"/>
        </w:rPr>
        <w:t>desactualizada</w:t>
      </w:r>
      <w:r>
        <w:rPr>
          <w:rFonts w:ascii="Century Gothic" w:hAnsi="Century Gothic" w:cs="Century Gothic" w:eastAsia="Century Gothic"/>
          <w:b w:val="0"/>
          <w:i w:val="0"/>
          <w:sz w:val="20"/>
        </w:rPr>
        <w:t xml:space="preserve"> cuando no tiene ningún ejemplar editado desde 2015.</w:t>
      </w:r>
    </w:p>
    <w:p>
      <w:pPr>
        <w:keepNext/>
        <w:spacing w:before="40" w:after="80" w:line="240" w:lineRule="auto"/>
        <w:jc w:val="center"/>
      </w:pPr>
      <w:r>
        <w:rPr>
          <w:rFonts w:ascii="Century Gothic" w:hAnsi="Century Gothic" w:cs="Century Gothic" w:eastAsia="Century Gothic"/>
          <w:b/>
          <w:i w:val="0"/>
          <w:sz w:val="20"/>
        </w:rPr>
        <w:t>Cuadro 2. Suficiencia del material bibliográfico por asignatura del Plan 2027</w:t>
      </w:r>
    </w:p>
    <w:tbl>
      <w:tblPr>
        <w:tblW w:type="auto" w:w="0"/>
        <w:jc w:val="center"/>
        <w:tblLayout w:type="fixed"/>
        <w:tblLook w:firstColumn="1" w:firstRow="1" w:lastColumn="0" w:lastRow="0" w:noHBand="0" w:noVBand="1" w:val="04A0"/>
      </w:tblPr>
      <w:tblGrid>
        <w:gridCol w:w="1020"/>
        <w:gridCol w:w="2438"/>
        <w:gridCol w:w="1247"/>
        <w:gridCol w:w="794"/>
        <w:gridCol w:w="1134"/>
        <w:gridCol w:w="907"/>
        <w:gridCol w:w="1531"/>
      </w:tblGrid>
      <w:tr>
        <w:trPr>
          <w:tblHeader/>
        </w:trPr>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Sigla</w:t>
            </w:r>
          </w:p>
        </w:tc>
        <w:tc>
          <w:tcPr>
            <w:tcW w:type="dxa" w:w="243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Asignatura</w:t>
            </w:r>
          </w:p>
        </w:tc>
        <w:tc>
          <w:tcPr>
            <w:tcW w:type="dxa" w:w="124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Ejemplares</w:t>
            </w:r>
          </w:p>
        </w:tc>
        <w:tc>
          <w:tcPr>
            <w:tcW w:type="dxa" w:w="79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Títulos</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Ejemplares desde 2015</w:t>
            </w:r>
          </w:p>
        </w:tc>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Edición más reciente</w:t>
            </w:r>
          </w:p>
        </w:tc>
        <w:tc>
          <w:tcPr>
            <w:tcW w:type="dxa" w:w="153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Vigencia</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CPA-101</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Básica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90</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29</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2026</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Actualizada</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CPA-102</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Tecnologías de Información y Herramientas Digitales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185</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76</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2024</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Actualizada</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ADM-101</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General</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362</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172</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2023</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Actualizada</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DER-101</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Derecho Comercial y Corporativo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2013</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Desactualizada</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DER-102</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Derecho Laboral y Seguridad Social</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2014</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Desactualizada</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ECO-101</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Microeconomía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2019</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Por actualizar</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MAT-101</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Cálculo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92</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2023</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Por actualizar</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MAT-102</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Financieras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15</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2017</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Por actualizar</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CPA-201</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Intermedia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66</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2025</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Actualizada</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CPA-202</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Sociedades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11</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2020</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Actualizada</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CPA-203</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Tributos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98</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40</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2023</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Actualizada</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CPA-204</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Métodos y Técnicas de Investigación</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2012</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Desactualizada</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ADM-201</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Administración de Sistemas Gerenciales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58</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2022</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Actualizada</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DER-201</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Derecho Tributario y Legislación Aduanera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2016</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Por actualizar</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ECO-201</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Macroeconomía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30</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2014</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Desactualizada</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MAT-201</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Álgebra Lineal y Programación Operativa Aplicada a los Negocios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57</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2011</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Desactualizada</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CPA-301</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Internacional</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215</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67</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2025</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Actualizada</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CPA-302</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Costos y Gestión</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376</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169</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74</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2025</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Actualizada</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CPA-303</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Bancos y Entidades Financieras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2024</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Actualizada</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CPA-304</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y Presupuestos Gubernamental</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63</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35</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2018</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Por actualizar</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CPA-305</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Sistemas Contables ERP y Análisis de Datos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1985</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Desactualizada</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ADM-301</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Desarrollo Organizacional y Comportamiento Organizacional</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0</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2013</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Desactualizada</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ECO-301</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Preparación y Evaluación de Proyectos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221</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62</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2025</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Actualizada</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MAT-301</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Estadística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91</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51</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2019</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Por actualizar</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CPA-401</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Minera y Petrolera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26</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13</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2025</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Actualizada</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CPA-402</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Agrícola y Ganadera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108</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19</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2019</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Por actualizar</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CPA-403</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Contabilidad de Seguros: Privado y Social</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49</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2025</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Por actualizar</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CPA-404</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Diseño e Implantación de Sistemas de Contabilidad</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44</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17</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2018</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Por actualizar</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CPA-405</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Finanzas Corporativas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92</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46</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2022</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Actualizada</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CPA-406</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Ética e Independencia Profesional</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9</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2015</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Por actualizar</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CPA-407</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Financiera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2021</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Por actualizar</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CPA-408</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Interna, Control Interno y Gestión de Riesgos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104</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12</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2023</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Actualizada</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MAT-401</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Matemáticas Actuariales y Técnicas Financieras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18</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2022</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Por actualizar</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CPA-501</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Operativa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2023</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Actualizada</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CPA-502</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Gabinete de Auditoría Financiera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24</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2021</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Por actualizar</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CPA-503</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Tributaria</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64</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31</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16</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2023</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Actualizada</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CPA-504</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Gubernamental</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39</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2025</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Actualizada</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CPA-505</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Digital, Ciberseguridad y Tecnologías Emergentes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52</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33</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2022</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Actualizada</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CPA-506</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Reportes y Aseguramiento de Sostenibilidad y Auditoría Ambiental</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3</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5</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2024</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Actualizada</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CPA-507</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Proyectos Públicos y Privados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105</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41</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2020</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Actualizada</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CPA-508</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Forense, Peritaje y Prevención de Delitos Económicos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25</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6</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2022</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Actualizada</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CPA-509</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Auditoría de Entidades Financieras y Servicios Relacionados</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14</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7</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8</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2024</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Actualizada</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CPA-510</w:t>
            </w: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Taller de Grado</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45</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22</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1</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2020</w:t>
            </w: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6"/>
              </w:rPr>
              <w:t>Por actualizar</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243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Total</w:t>
            </w: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3.108</w:t>
            </w:r>
          </w:p>
        </w:tc>
        <w:tc>
          <w:tcPr>
            <w:tcW w:type="dxa" w:w="79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1.237</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i w:val="0"/>
                <w:sz w:val="16"/>
              </w:rPr>
              <w:t>458</w:t>
            </w:r>
          </w:p>
        </w:tc>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c>
          <w:tcPr>
            <w:tcW w:type="dxa" w:w="153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p>
        </w:tc>
      </w:tr>
    </w:tbl>
    <w:p>
      <w:pPr>
        <w:spacing w:before="40" w:after="200" w:line="240" w:lineRule="auto"/>
        <w:jc w:val="left"/>
      </w:pPr>
      <w:r>
        <w:rPr>
          <w:rFonts w:ascii="Century Gothic" w:hAnsi="Century Gothic" w:cs="Century Gothic" w:eastAsia="Century Gothic"/>
          <w:b w:val="0"/>
          <w:i w:val="0"/>
          <w:sz w:val="16"/>
        </w:rPr>
        <w:t>Fuente: elaboración con base en el listado bibliográfico por asignatura del catálogo de la Biblioteca de la Carrera. Un mismo título puede estar asignado a más de una asignatura; el acervo asignado suma 948 títulos distintos.</w:t>
      </w:r>
    </w:p>
    <w:p>
      <w:pPr>
        <w:spacing w:before="0" w:after="200" w:line="240" w:lineRule="auto"/>
        <w:jc w:val="both"/>
      </w:pPr>
      <w:r>
        <w:rPr>
          <w:rFonts w:ascii="Century Gothic" w:hAnsi="Century Gothic" w:cs="Century Gothic" w:eastAsia="Century Gothic"/>
          <w:b w:val="0"/>
          <w:i w:val="0"/>
          <w:sz w:val="20"/>
        </w:rPr>
        <w:t>Del análisis del Cuadro 2 se concluye lo siguiente:</w:t>
      </w:r>
    </w:p>
    <w:p>
      <w:pPr>
        <w:numPr>
          <w:ilvl w:val="0"/>
          <w:numId w:val="901"/>
        </w:numPr>
        <w:spacing w:before="0" w:after="160" w:line="240" w:lineRule="auto"/>
        <w:jc w:val="both"/>
      </w:pPr>
      <w:r>
        <w:rPr>
          <w:rFonts w:ascii="Century Gothic" w:hAnsi="Century Gothic" w:cs="Century Gothic" w:eastAsia="Century Gothic"/>
          <w:b w:val="0"/>
          <w:i w:val="0"/>
          <w:sz w:val="20"/>
        </w:rPr>
        <w:t>Solo 458 de los 3.108 ejemplares, el 14,7 %, fueron editados desde 2015. La mayor parte del acervo es anterior a la adopción de las Normas NIIF en Bolivia y a las versiones vigentes de las Normas Internacionales de Auditoría.</w:t>
      </w:r>
    </w:p>
    <w:p>
      <w:pPr>
        <w:numPr>
          <w:ilvl w:val="0"/>
          <w:numId w:val="901"/>
        </w:numPr>
        <w:spacing w:before="0" w:after="160" w:line="240" w:lineRule="auto"/>
        <w:jc w:val="both"/>
      </w:pPr>
      <w:r>
        <w:rPr>
          <w:rFonts w:ascii="Century Gothic" w:hAnsi="Century Gothic" w:cs="Century Gothic" w:eastAsia="Century Gothic"/>
          <w:b w:val="0"/>
          <w:i w:val="0"/>
          <w:sz w:val="20"/>
        </w:rPr>
        <w:t>Según su vigencia, 22 asignaturas tienen bibliografía actualizada, 14 requieren actualización y 7 tienen bibliografía desactualizada.</w:t>
      </w:r>
    </w:p>
    <w:p>
      <w:pPr>
        <w:numPr>
          <w:ilvl w:val="0"/>
          <w:numId w:val="901"/>
        </w:numPr>
        <w:spacing w:before="0" w:after="160" w:line="240" w:lineRule="auto"/>
        <w:jc w:val="both"/>
      </w:pPr>
      <w:r>
        <w:rPr>
          <w:rFonts w:ascii="Century Gothic" w:hAnsi="Century Gothic" w:cs="Century Gothic" w:eastAsia="Century Gothic"/>
          <w:b w:val="0"/>
          <w:i w:val="0"/>
          <w:sz w:val="20"/>
        </w:rPr>
        <w:t>CPA-305 Sistemas Contables ERP y Análisis de Datos, asignatura central del componente tecnológico del Plan 2027, solo tiene dos ejemplares, editados en 1974 y 1985. CPA-204 Métodos y Técnicas de Investigación, DER-101, DER-102, ECO-201, MAT-201 y ADM-301 tampoco cuentan con ningún ejemplar editado desde 2015.</w:t>
      </w:r>
    </w:p>
    <w:p>
      <w:pPr>
        <w:numPr>
          <w:ilvl w:val="0"/>
          <w:numId w:val="901"/>
        </w:numPr>
        <w:spacing w:before="0" w:after="160" w:line="240" w:lineRule="auto"/>
        <w:jc w:val="both"/>
      </w:pPr>
      <w:r>
        <w:rPr>
          <w:rFonts w:ascii="Century Gothic" w:hAnsi="Century Gothic" w:cs="Century Gothic" w:eastAsia="Century Gothic"/>
          <w:b w:val="0"/>
          <w:i w:val="0"/>
          <w:sz w:val="20"/>
        </w:rPr>
        <w:t>Varias asignaturas tienen menos de diez ejemplares, como DER-201 Derecho Tributario y Legislación Aduanera, con 8; CPA-406 Ética e Independencia Profesional, con 9; y CPA-501 Auditoría Operativa y CPA-506 Reportes y Aseguramiento de Sostenibilidad y Auditoría Ambiental, con 10 cada una.</w:t>
      </w:r>
    </w:p>
    <w:p>
      <w:pPr>
        <w:numPr>
          <w:ilvl w:val="0"/>
          <w:numId w:val="901"/>
        </w:numPr>
        <w:spacing w:before="0" w:after="160" w:line="240" w:lineRule="auto"/>
        <w:jc w:val="both"/>
      </w:pPr>
      <w:r>
        <w:rPr>
          <w:rFonts w:ascii="Century Gothic" w:hAnsi="Century Gothic" w:cs="Century Gothic" w:eastAsia="Century Gothic"/>
          <w:b w:val="0"/>
          <w:i w:val="0"/>
          <w:sz w:val="20"/>
        </w:rPr>
        <w:t>La concentración es alta: ADM-101, CPA-302, ECO-301 y CPA-301 reúnen 1.174 ejemplares, el 37,8 % del total asignado.</w:t>
      </w:r>
    </w:p>
    <w:p>
      <w:pPr>
        <w:numPr>
          <w:ilvl w:val="0"/>
          <w:numId w:val="901"/>
        </w:numPr>
        <w:spacing w:before="0" w:after="200" w:line="240" w:lineRule="auto"/>
        <w:jc w:val="both"/>
      </w:pPr>
      <w:r>
        <w:rPr>
          <w:rFonts w:ascii="Century Gothic" w:hAnsi="Century Gothic" w:cs="Century Gothic" w:eastAsia="Century Gothic"/>
          <w:b w:val="0"/>
          <w:i w:val="0"/>
          <w:sz w:val="20"/>
        </w:rPr>
        <w:t>En relación con la demanda, las 24.117 inscripciones por asignatura de 2026 frente a 3.108 ejemplares asignados representan alrededor de un ejemplar por cada ocho inscripciones, lo que obliga a complementar el acervo físico con recursos digitales.</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9.1.3</w:t>
        <w:tab/>
      </w:r>
      <w:r>
        <w:rPr>
          <w:rFonts w:ascii="Century Gothic" w:hAnsi="Century Gothic" w:cs="Century Gothic" w:eastAsia="Century Gothic"/>
          <w:b/>
          <w:i w:val="0"/>
          <w:sz w:val="22"/>
        </w:rPr>
        <w:t>Suficiencia cualitativa</w:t>
      </w:r>
    </w:p>
    <w:p>
      <w:pPr>
        <w:spacing w:before="0" w:after="200" w:line="240" w:lineRule="auto"/>
        <w:jc w:val="both"/>
      </w:pPr>
      <w:r>
        <w:rPr>
          <w:rFonts w:ascii="Century Gothic" w:hAnsi="Century Gothic" w:cs="Century Gothic" w:eastAsia="Century Gothic"/>
          <w:b w:val="0"/>
          <w:i w:val="0"/>
          <w:sz w:val="20"/>
        </w:rPr>
        <w:t>El Plan 2027 incorpora contenidos que el acervo actual no cubre o cubre de forma insuficiente. La búsqueda por materia en el listado del catálogo dio los siguientes resultados:</w:t>
      </w:r>
    </w:p>
    <w:p>
      <w:pPr>
        <w:keepNext/>
        <w:spacing w:before="40" w:after="80" w:line="240" w:lineRule="auto"/>
        <w:jc w:val="center"/>
      </w:pPr>
      <w:r>
        <w:rPr>
          <w:rFonts w:ascii="Century Gothic" w:hAnsi="Century Gothic" w:cs="Century Gothic" w:eastAsia="Century Gothic"/>
          <w:b/>
          <w:i w:val="0"/>
          <w:sz w:val="20"/>
        </w:rPr>
        <w:t>Cuadro 3. Cobertura bibliográfica de los contenidos nuevos del Plan 2027</w:t>
      </w:r>
    </w:p>
    <w:tbl>
      <w:tblPr>
        <w:tblW w:type="auto" w:w="0"/>
        <w:jc w:val="center"/>
        <w:tblLayout w:type="fixed"/>
        <w:tblLook w:firstColumn="1" w:firstRow="1" w:lastColumn="0" w:lastRow="0" w:noHBand="0" w:noVBand="1" w:val="04A0"/>
      </w:tblPr>
      <w:tblGrid>
        <w:gridCol w:w="2154"/>
        <w:gridCol w:w="1474"/>
        <w:gridCol w:w="2381"/>
        <w:gridCol w:w="3175"/>
      </w:tblGrid>
      <w:tr>
        <w:trPr>
          <w:tblHeader/>
        </w:trPr>
        <w:tc>
          <w:tcPr>
            <w:tcW w:type="dxa" w:w="215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Contenido del Plan 2027</w:t>
            </w:r>
          </w:p>
        </w:tc>
        <w:tc>
          <w:tcPr>
            <w:tcW w:type="dxa" w:w="147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Asignaturas</w:t>
            </w:r>
          </w:p>
        </w:tc>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Situación del acervo</w:t>
            </w:r>
          </w:p>
        </w:tc>
        <w:tc>
          <w:tcPr>
            <w:tcW w:type="dxa" w:w="317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Recurso recomendado</w:t>
            </w:r>
          </w:p>
        </w:tc>
      </w:tr>
      <w:tr>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Normas NIIF de Contabilidad y NIIF para las PYMES</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CPA-201, CPA-202, CPA-301</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39 títulos sobre NIC y NIIF, varios editados entre 2015 y 2024</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Normas oficiales en línea de la Fundación IFRS y textos actualizados de autores nacionales</w:t>
            </w:r>
          </w:p>
        </w:tc>
      </w:tr>
      <w:tr>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Normas NIIF de Sostenibilidad y aseguramiento de sostenibilidad, NIAS 5000</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CPA-506</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Sin títulos específicos; dos títulos de auditoría ambiental de 2022 y 2024</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Normas NIIF S1 y S2 y NIAS 5000 en línea; guías de la IFAC y del IAASB</w:t>
            </w:r>
          </w:p>
        </w:tc>
      </w:tr>
      <w:tr>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Normas Internacionales de Auditoría</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CPA-407, CPA-502, CPA-503</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13 títulos; el más reciente de 2021</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Manual del IAASB en línea y textos actualizados</w:t>
            </w:r>
          </w:p>
        </w:tc>
      </w:tr>
      <w:tr>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Código Internacional de Ética del IESBA</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CPA-406</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Sin títulos sobre el Código; 9 ejemplares de ética profesional, el más reciente de 2015</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Manual del IESBA en línea y casos de ética profesional</w:t>
            </w:r>
          </w:p>
        </w:tc>
      </w:tr>
      <w:tr>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Inteligencia artificial, análisis de datos y ciberseguridad</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CPA-102, CPA-305, CPA-505</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Sin títulos</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Libros electrónicos, cursos abiertos y documentación técnica del software utilizado</w:t>
            </w:r>
          </w:p>
        </w:tc>
      </w:tr>
      <w:tr>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Sistemas ERP</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CPA-305, CPA-404</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Sin títulos específicos</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Documentación de los programas académicos de los proveedores de ERP</w:t>
            </w:r>
          </w:p>
        </w:tc>
      </w:tr>
      <w:tr>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Auditoría forense y peritaje</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CPA-508</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6 títulos, cuatro editados entre 2015 y 2022</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Ampliar ejemplares y agregar normativa nacional de peritaje</w:t>
            </w:r>
          </w:p>
        </w:tc>
      </w:tr>
      <w:tr>
        <w:tc>
          <w:tcPr>
            <w:tcW w:type="dxa" w:w="215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Metodología de la investigación</w:t>
            </w:r>
          </w:p>
        </w:tc>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CPA-204, CPA-510</w:t>
            </w:r>
          </w:p>
        </w:tc>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5 títulos en CPA-204, todos anteriores a 2013</w:t>
            </w:r>
          </w:p>
        </w:tc>
        <w:tc>
          <w:tcPr>
            <w:tcW w:type="dxa" w:w="317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Ediciones actuales de metodología, guías de citación y bases de datos científicas</w:t>
            </w:r>
          </w:p>
        </w:tc>
      </w:tr>
    </w:tbl>
    <w:p>
      <w:pPr>
        <w:spacing w:before="40" w:after="200" w:line="240" w:lineRule="auto"/>
        <w:jc w:val="left"/>
      </w:pPr>
      <w:r>
        <w:rPr>
          <w:rFonts w:ascii="Century Gothic" w:hAnsi="Century Gothic" w:cs="Century Gothic" w:eastAsia="Century Gothic"/>
          <w:b w:val="0"/>
          <w:i w:val="0"/>
          <w:sz w:val="16"/>
        </w:rPr>
        <w:t>Fuente: elaboración con base en el listado bibliográfico del catálogo de la Biblioteca de la Carrera y la malla curricular 2027.</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9.1.4</w:t>
        <w:tab/>
      </w:r>
      <w:r>
        <w:rPr>
          <w:rFonts w:ascii="Century Gothic" w:hAnsi="Century Gothic" w:cs="Century Gothic" w:eastAsia="Century Gothic"/>
          <w:b/>
          <w:i w:val="0"/>
          <w:sz w:val="22"/>
        </w:rPr>
        <w:t>Política de actualización bibliográfica</w:t>
      </w:r>
    </w:p>
    <w:p>
      <w:pPr>
        <w:spacing w:before="0" w:after="200" w:line="240" w:lineRule="auto"/>
        <w:jc w:val="both"/>
      </w:pPr>
      <w:r>
        <w:rPr>
          <w:rFonts w:ascii="Century Gothic" w:hAnsi="Century Gothic" w:cs="Century Gothic" w:eastAsia="Century Gothic"/>
          <w:b w:val="0"/>
          <w:i w:val="0"/>
          <w:sz w:val="20"/>
        </w:rPr>
        <w:t>Para asegurar la suficiencia del material bibliográfico durante la implementación del Plan 2027 se establecen los siguientes criterios:</w:t>
      </w:r>
    </w:p>
    <w:p>
      <w:pPr>
        <w:numPr>
          <w:ilvl w:val="0"/>
          <w:numId w:val="902"/>
        </w:numPr>
        <w:spacing w:before="0" w:after="160" w:line="240" w:lineRule="auto"/>
        <w:jc w:val="both"/>
      </w:pPr>
      <w:r>
        <w:rPr>
          <w:rFonts w:ascii="Century Gothic" w:hAnsi="Century Gothic" w:cs="Century Gothic" w:eastAsia="Century Gothic"/>
          <w:b w:val="0"/>
          <w:i w:val="0"/>
          <w:sz w:val="20"/>
        </w:rPr>
        <w:t>Cada plan de asignatura debe consignar una bibliografía básica de al menos tres títulos disponibles en la Biblioteca o en formato digital de acceso institucional, de los cuales al menos uno debe haber sido editado en los últimos cinco años o corresponder a la versión vigente de la norma aplicable.</w:t>
      </w:r>
    </w:p>
    <w:p>
      <w:pPr>
        <w:numPr>
          <w:ilvl w:val="0"/>
          <w:numId w:val="902"/>
        </w:numPr>
        <w:spacing w:before="0" w:after="160" w:line="240" w:lineRule="auto"/>
        <w:jc w:val="both"/>
      </w:pPr>
      <w:r>
        <w:rPr>
          <w:rFonts w:ascii="Century Gothic" w:hAnsi="Century Gothic" w:cs="Century Gothic" w:eastAsia="Century Gothic"/>
          <w:b w:val="0"/>
          <w:i w:val="0"/>
          <w:sz w:val="20"/>
        </w:rPr>
        <w:t>Las adquisiciones se priorizan según el orden de implementación del plan, año por año, comenzando por las asignaturas sin bibliografía o con bibliografía desactualizada del Cuadro 2.</w:t>
      </w:r>
    </w:p>
    <w:p>
      <w:pPr>
        <w:numPr>
          <w:ilvl w:val="0"/>
          <w:numId w:val="902"/>
        </w:numPr>
        <w:spacing w:before="0" w:after="160" w:line="240" w:lineRule="auto"/>
        <w:jc w:val="both"/>
      </w:pPr>
      <w:r>
        <w:rPr>
          <w:rFonts w:ascii="Century Gothic" w:hAnsi="Century Gothic" w:cs="Century Gothic" w:eastAsia="Century Gothic"/>
          <w:b w:val="0"/>
          <w:i w:val="0"/>
          <w:sz w:val="20"/>
        </w:rPr>
        <w:t>Las normas internacionales se consultan en sus versiones oficiales en línea, que se actualizan cada año sin costo para la Carrera.</w:t>
      </w:r>
    </w:p>
    <w:p>
      <w:pPr>
        <w:numPr>
          <w:ilvl w:val="0"/>
          <w:numId w:val="902"/>
        </w:numPr>
        <w:spacing w:before="0" w:after="160" w:line="240" w:lineRule="auto"/>
        <w:jc w:val="both"/>
      </w:pPr>
      <w:r>
        <w:rPr>
          <w:rFonts w:ascii="Century Gothic" w:hAnsi="Century Gothic" w:cs="Century Gothic" w:eastAsia="Century Gothic"/>
          <w:b w:val="0"/>
          <w:i w:val="0"/>
          <w:sz w:val="20"/>
        </w:rPr>
        <w:t>Los docentes de cada área proponen anualmente a la Biblioteca la lista de títulos a adquirir y dan de baja de la bibliografía básica los textos que han perdido vigencia normativa.</w:t>
      </w:r>
    </w:p>
    <w:p>
      <w:pPr>
        <w:numPr>
          <w:ilvl w:val="0"/>
          <w:numId w:val="902"/>
        </w:numPr>
        <w:spacing w:before="0" w:after="160" w:line="240" w:lineRule="auto"/>
        <w:jc w:val="both"/>
      </w:pPr>
      <w:r>
        <w:rPr>
          <w:rFonts w:ascii="Century Gothic" w:hAnsi="Century Gothic" w:cs="Century Gothic" w:eastAsia="Century Gothic"/>
          <w:b w:val="0"/>
          <w:i w:val="0"/>
          <w:sz w:val="20"/>
        </w:rPr>
        <w:t>La Carrera gestiona donaciones de textos actualizados ante el Colegio de Auditores o Contadores Públicos, las firmas de auditoría, las entidades públicas y los autores nacionales, y promueve la publicación de textos y guías de estudio de sus docentes, conforme al punto 11.2.</w:t>
      </w:r>
    </w:p>
    <w:p>
      <w:pPr>
        <w:numPr>
          <w:ilvl w:val="0"/>
          <w:numId w:val="902"/>
        </w:numPr>
        <w:spacing w:before="0" w:after="200" w:line="240" w:lineRule="auto"/>
        <w:jc w:val="both"/>
      </w:pPr>
      <w:r>
        <w:rPr>
          <w:rFonts w:ascii="Century Gothic" w:hAnsi="Century Gothic" w:cs="Century Gothic" w:eastAsia="Century Gothic"/>
          <w:b w:val="0"/>
          <w:i w:val="0"/>
          <w:sz w:val="20"/>
        </w:rPr>
        <w:t>Todo el material nuevo se registra en el sistema KOHA y, cuando su licencia lo permite, se publica en el repositorio institucional.</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9.2</w:t>
        <w:tab/>
      </w:r>
      <w:r>
        <w:rPr>
          <w:rFonts w:ascii="Century Gothic" w:hAnsi="Century Gothic" w:cs="Century Gothic" w:eastAsia="Century Gothic"/>
          <w:b/>
          <w:i w:val="0"/>
          <w:sz w:val="24"/>
        </w:rPr>
        <w:t>Suscripción a revistas de reconocido prestigio especializado</w:t>
      </w:r>
    </w:p>
    <w:p>
      <w:pPr>
        <w:spacing w:before="0" w:after="200" w:line="240" w:lineRule="auto"/>
        <w:jc w:val="both"/>
      </w:pPr>
      <w:r>
        <w:rPr>
          <w:rFonts w:ascii="Century Gothic" w:hAnsi="Century Gothic" w:cs="Century Gothic" w:eastAsia="Century Gothic"/>
          <w:b w:val="0"/>
          <w:i w:val="0"/>
          <w:sz w:val="20"/>
        </w:rPr>
        <w:t>La Carrera no cuenta con suscripciones propias a revistas especializadas de pago. La información actualizada sobre las normas de información financiera, aseguramiento y ética se obtiene de los sitios oficiales de los organismos emisores:</w:t>
      </w:r>
    </w:p>
    <w:p>
      <w:pPr>
        <w:numPr>
          <w:ilvl w:val="0"/>
          <w:numId w:val="903"/>
        </w:numPr>
        <w:spacing w:before="0" w:after="160" w:line="240" w:lineRule="auto"/>
        <w:jc w:val="both"/>
      </w:pPr>
      <w:r>
        <w:rPr>
          <w:rFonts w:ascii="Century Gothic" w:hAnsi="Century Gothic" w:cs="Century Gothic" w:eastAsia="Century Gothic"/>
          <w:b w:val="0"/>
          <w:i w:val="0"/>
          <w:sz w:val="20"/>
        </w:rPr>
        <w:t xml:space="preserve">Federación Internacional de Contadores (IFAC) y sus consejos emisores de normas, el IAASB, el IESBA y el IAESB, </w:t>
      </w:r>
      <w:r>
        <w:rPr>
          <w:rFonts w:ascii="Century Gothic" w:hAnsi="Century Gothic" w:cs="Century Gothic" w:eastAsia="Century Gothic"/>
          <w:b w:val="0"/>
          <w:i w:val="0"/>
          <w:sz w:val="20"/>
          <w:highlight w:val="green"/>
        </w:rPr>
        <w:t>cuyos manuales de normas se descargan sin costo desde sus sitios web</w:t>
      </w:r>
      <w:r>
        <w:rPr>
          <w:rFonts w:ascii="Century Gothic" w:hAnsi="Century Gothic" w:cs="Century Gothic" w:eastAsia="Century Gothic"/>
          <w:b w:val="0"/>
          <w:i w:val="0"/>
          <w:sz w:val="20"/>
        </w:rPr>
        <w:t>.</w:t>
      </w:r>
    </w:p>
    <w:p>
      <w:pPr>
        <w:numPr>
          <w:ilvl w:val="0"/>
          <w:numId w:val="903"/>
        </w:numPr>
        <w:spacing w:before="0" w:after="160" w:line="240" w:lineRule="auto"/>
        <w:jc w:val="both"/>
      </w:pPr>
      <w:r>
        <w:rPr>
          <w:rFonts w:ascii="Century Gothic" w:hAnsi="Century Gothic" w:cs="Century Gothic" w:eastAsia="Century Gothic"/>
          <w:b w:val="0"/>
          <w:i w:val="0"/>
          <w:sz w:val="20"/>
        </w:rPr>
        <w:t xml:space="preserve">Fundación IFRS, </w:t>
      </w:r>
      <w:r>
        <w:rPr>
          <w:rFonts w:ascii="Century Gothic" w:hAnsi="Century Gothic" w:cs="Century Gothic" w:eastAsia="Century Gothic"/>
          <w:b w:val="0"/>
          <w:i w:val="0"/>
          <w:sz w:val="20"/>
          <w:highlight w:val="green"/>
        </w:rPr>
        <w:t>cuyo registro gratuito permite consultar las Normas NIIF de Contabilidad emitidas en el año, las Interpretaciones CINIIF, el Marco Conceptual y sus traducciones oficiales, incluida la española; los ejemplos ilustrativos, las guías de implementación y los fundamentos de las conclusiones requieren una suscripción de pago</w:t>
      </w:r>
      <w:r>
        <w:rPr>
          <w:rFonts w:ascii="Century Gothic" w:hAnsi="Century Gothic" w:cs="Century Gothic" w:eastAsia="Century Gothic"/>
          <w:b w:val="0"/>
          <w:i w:val="0"/>
          <w:sz w:val="20"/>
        </w:rPr>
        <w:t>.</w:t>
      </w:r>
    </w:p>
    <w:p>
      <w:pPr>
        <w:numPr>
          <w:ilvl w:val="0"/>
          <w:numId w:val="903"/>
        </w:numPr>
        <w:spacing w:before="0" w:after="160" w:line="240" w:lineRule="auto"/>
        <w:jc w:val="both"/>
      </w:pPr>
      <w:r>
        <w:rPr>
          <w:rFonts w:ascii="Century Gothic" w:hAnsi="Century Gothic" w:cs="Century Gothic" w:eastAsia="Century Gothic"/>
          <w:b w:val="0"/>
          <w:i w:val="0"/>
          <w:sz w:val="20"/>
        </w:rPr>
        <w:t>Instituto de Auditores Internos (IIA) y otros organismos profesionales internacionales que publican sus pronunciamientos en acceso abierto.</w:t>
      </w:r>
    </w:p>
    <w:p>
      <w:pPr>
        <w:numPr>
          <w:ilvl w:val="0"/>
          <w:numId w:val="903"/>
        </w:numPr>
        <w:spacing w:before="0" w:after="200" w:line="240" w:lineRule="auto"/>
        <w:jc w:val="both"/>
      </w:pPr>
      <w:r>
        <w:rPr>
          <w:rFonts w:ascii="Century Gothic" w:hAnsi="Century Gothic" w:cs="Century Gothic" w:eastAsia="Century Gothic"/>
          <w:b w:val="0"/>
          <w:i w:val="0"/>
          <w:sz w:val="20"/>
        </w:rPr>
        <w:t>Servicio de Impuestos Nacionales, Contraloría General del Estado, Autoridad de Supervisión del Sistema Financiero y Colegio de Auditores o Contadores Públicos de Bolivia, en lo que corresponde a la normativa nacional.</w:t>
      </w:r>
    </w:p>
    <w:p>
      <w:pPr>
        <w:spacing w:before="0" w:after="200" w:line="240" w:lineRule="auto"/>
        <w:jc w:val="both"/>
      </w:pPr>
      <w:r>
        <w:rPr>
          <w:rFonts w:ascii="Century Gothic" w:hAnsi="Century Gothic" w:cs="Century Gothic" w:eastAsia="Century Gothic"/>
          <w:b w:val="0"/>
          <w:i w:val="0"/>
          <w:sz w:val="20"/>
        </w:rPr>
        <w:t xml:space="preserve">Para la investigación formativa y la docencia se recomienda incorporar en los planes de asignatura revistas iberoamericanas de contabilidad en acceso abierto, </w:t>
      </w:r>
      <w:r>
        <w:rPr>
          <w:rFonts w:ascii="Century Gothic" w:hAnsi="Century Gothic" w:cs="Century Gothic" w:eastAsia="Century Gothic"/>
          <w:b w:val="0"/>
          <w:i w:val="0"/>
          <w:sz w:val="20"/>
          <w:highlight w:val="green"/>
        </w:rPr>
        <w:t>como Contaduría y Administración de la Universidad Nacional Autónoma de México, Cuadernos de Contabilidad de la Pontificia Universidad Javeriana, Contaduría Universidad de Antioquia y la Revista de Contabilidad, Spanish Accounting Review</w:t>
      </w:r>
      <w:r>
        <w:rPr>
          <w:rFonts w:ascii="Century Gothic" w:hAnsi="Century Gothic" w:cs="Century Gothic" w:eastAsia="Century Gothic"/>
          <w:b w:val="0"/>
          <w:i w:val="0"/>
          <w:sz w:val="20"/>
        </w:rPr>
        <w:t>, y gestionar ante la Universidad la suscripción institucional a al menos una base de datos de revistas de contabilidad y finanzas.</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9.3</w:t>
        <w:tab/>
      </w:r>
      <w:r>
        <w:rPr>
          <w:rFonts w:ascii="Century Gothic" w:hAnsi="Century Gothic" w:cs="Century Gothic" w:eastAsia="Century Gothic"/>
          <w:b/>
          <w:i w:val="0"/>
          <w:sz w:val="24"/>
        </w:rPr>
        <w:t>Conexión a sistemas de información nacional o internacional</w:t>
      </w:r>
    </w:p>
    <w:p>
      <w:pPr>
        <w:spacing w:before="0" w:after="200" w:line="240" w:lineRule="auto"/>
        <w:jc w:val="both"/>
      </w:pPr>
      <w:r>
        <w:rPr>
          <w:rFonts w:ascii="Century Gothic" w:hAnsi="Century Gothic" w:cs="Century Gothic" w:eastAsia="Century Gothic"/>
          <w:b w:val="0"/>
          <w:i w:val="0"/>
          <w:sz w:val="20"/>
        </w:rPr>
        <w:t>Desde 2008, la Biblioteca utiliza el Sistema Integrado de Gestión Bibliotecaria KOHA, de código abierto, que permite la consulta del catálogo y la gestión de préstamos. El sistema incorpora un módulo de control biométrico que identifica a cada usuario por su huella digital y evita la suplantación en los préstamos. Además, docentes y estudiantes acceden a los siguientes sistemas de información:</w:t>
      </w:r>
    </w:p>
    <w:p>
      <w:pPr>
        <w:keepNext/>
        <w:spacing w:before="40" w:after="80" w:line="240" w:lineRule="auto"/>
        <w:jc w:val="center"/>
      </w:pPr>
      <w:r>
        <w:rPr>
          <w:rFonts w:ascii="Century Gothic" w:hAnsi="Century Gothic" w:cs="Century Gothic" w:eastAsia="Century Gothic"/>
          <w:b/>
          <w:i w:val="0"/>
          <w:sz w:val="20"/>
        </w:rPr>
        <w:t>Cuadro 4. Sistemas de información nacional e internacional</w:t>
      </w:r>
    </w:p>
    <w:tbl>
      <w:tblPr>
        <w:tblW w:type="auto" w:w="0"/>
        <w:jc w:val="center"/>
        <w:tblLayout w:type="fixed"/>
        <w:tblLook w:firstColumn="1" w:firstRow="1" w:lastColumn="0" w:lastRow="0" w:noHBand="0" w:noVBand="1" w:val="04A0"/>
      </w:tblPr>
      <w:tblGrid>
        <w:gridCol w:w="2381"/>
        <w:gridCol w:w="6803"/>
      </w:tblGrid>
      <w:tr>
        <w:trPr>
          <w:tblHeader/>
        </w:trPr>
        <w:tc>
          <w:tcPr>
            <w:tcW w:type="dxa" w:w="238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Sistema</w:t>
            </w:r>
          </w:p>
        </w:tc>
        <w:tc>
          <w:tcPr>
            <w:tcW w:type="dxa" w:w="6803"/>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Descripción</w:t>
            </w:r>
          </w:p>
        </w:tc>
      </w:tr>
      <w:tr>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Repositorio institucional de la UMSA</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Documentos a texto completo de la producción académica de la Universidad, incluidos los trabajos de grado de la Carrera</w:t>
            </w:r>
          </w:p>
        </w:tc>
      </w:tr>
      <w:tr>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Research4Life</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 xml:space="preserve">Acceso para instituciones de países en desarrollo a más de 70.000 revistas científicas internacionales; </w:t>
            </w:r>
            <w:r>
              <w:rPr>
                <w:rFonts w:ascii="Century Gothic" w:hAnsi="Century Gothic" w:cs="Century Gothic" w:eastAsia="Century Gothic"/>
                <w:b w:val="0"/>
                <w:i w:val="0"/>
                <w:sz w:val="18"/>
                <w:highlight w:val="green"/>
              </w:rPr>
              <w:t>incluye el programa HINARI, registrado como recurso independiente en el Plan 2024</w:t>
            </w:r>
          </w:p>
        </w:tc>
      </w:tr>
      <w:tr>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Scopus</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 xml:space="preserve">Base de datos de resúmenes y citas de la producción científica mundial; </w:t>
            </w:r>
            <w:r>
              <w:rPr>
                <w:rFonts w:ascii="Century Gothic" w:hAnsi="Century Gothic" w:cs="Century Gothic" w:eastAsia="Century Gothic"/>
                <w:b w:val="0"/>
                <w:i w:val="0"/>
                <w:sz w:val="18"/>
                <w:highlight w:val="green"/>
              </w:rPr>
              <w:t>su contratación por la UMSA está a cargo del Departamento de Investigación, Postgrado e Interacción Social y se orienta principalmente a docentes e investigadores</w:t>
            </w:r>
          </w:p>
        </w:tc>
      </w:tr>
      <w:tr>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SciELO</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Colección de revistas científicas electrónicas de acceso abierto de América Latina, el Caribe, España y Portugal</w:t>
            </w:r>
          </w:p>
        </w:tc>
      </w:tr>
      <w:tr>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Dialnet</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Portal bibliográfico de la producción científica en español, con artículos, libros, actas de congresos y tesis doctorales</w:t>
            </w:r>
          </w:p>
        </w:tc>
      </w:tr>
      <w:tr>
        <w:tc>
          <w:tcPr>
            <w:tcW w:type="dxa" w:w="238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Recursos del Plan 2024</w:t>
            </w:r>
          </w:p>
        </w:tc>
        <w:tc>
          <w:tcPr>
            <w:tcW w:type="dxa" w:w="6803"/>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left"/>
            </w:pPr>
            <w:r>
              <w:rPr>
                <w:rFonts w:ascii="Century Gothic" w:hAnsi="Century Gothic" w:cs="Century Gothic" w:eastAsia="Century Gothic"/>
                <w:b w:val="0"/>
                <w:i w:val="0"/>
                <w:sz w:val="18"/>
              </w:rPr>
              <w:t>EBSCO en español, Cambridge Journals Online, Emerald, Oxford Journals, Palgrave Macmillan Journals, Springer eJournals, The Royal Society, University of Chicago y Wiley InterScience, a través del Programa para el Fortalecimiento de la Información para la Investigación (PERI)</w:t>
            </w:r>
          </w:p>
        </w:tc>
      </w:tr>
    </w:tbl>
    <w:p>
      <w:pPr>
        <w:spacing w:before="40" w:after="200" w:line="240" w:lineRule="auto"/>
        <w:jc w:val="left"/>
      </w:pPr>
      <w:r>
        <w:rPr>
          <w:rFonts w:ascii="Century Gothic" w:hAnsi="Century Gothic" w:cs="Century Gothic" w:eastAsia="Century Gothic"/>
          <w:b w:val="0"/>
          <w:i w:val="0"/>
          <w:sz w:val="16"/>
        </w:rPr>
        <w:t>Fuente: Diagnóstico de la Carrera de Contaduría Pública 2026 y Plan de Estudios 2024.</w:t>
      </w:r>
    </w:p>
    <w:p>
      <w:pPr>
        <w:spacing w:before="0" w:after="200" w:line="240" w:lineRule="auto"/>
        <w:jc w:val="both"/>
      </w:pPr>
      <w:r>
        <w:rPr>
          <w:rFonts w:ascii="Century Gothic" w:hAnsi="Century Gothic" w:cs="Century Gothic" w:eastAsia="Century Gothic"/>
          <w:b w:val="0"/>
          <w:i w:val="0"/>
          <w:sz w:val="20"/>
        </w:rPr>
        <w:t>La vigencia del acceso a los recursos del Programa PERI debe confirmarse con la Biblioteca Central de la UMSA antes de su consignación en los planes de asignatura. Para su uso efectivo, el programa de inducción digital del punto 11.2 incluirá la búsqueda en bases de datos científicas y el uso de gestores bibliográficos como Zotero, instalado en el laboratorio de computación del Edificio Nava Morales.</w:t>
      </w:r>
    </w:p>
    <w:p>
      <w:pPr>
        <w:keepNext/>
        <w:tabs>
          <w:tab w:pos="709" w:val="left"/>
        </w:tabs>
        <w:spacing w:before="120" w:after="200" w:line="240" w:lineRule="auto"/>
        <w:ind w:left="709" w:hanging="709"/>
        <w:jc w:val="left"/>
      </w:pPr>
      <w:r>
        <w:rPr>
          <w:rFonts w:ascii="Century Gothic" w:hAnsi="Century Gothic" w:cs="Century Gothic" w:eastAsia="Century Gothic"/>
          <w:b/>
          <w:i w:val="0"/>
          <w:sz w:val="24"/>
        </w:rPr>
        <w:t>9.4</w:t>
        <w:tab/>
      </w:r>
      <w:r>
        <w:rPr>
          <w:rFonts w:ascii="Century Gothic" w:hAnsi="Century Gothic" w:cs="Century Gothic" w:eastAsia="Century Gothic"/>
          <w:b/>
          <w:i w:val="0"/>
          <w:sz w:val="24"/>
        </w:rPr>
        <w:t>Internet, sistema de red o wifi</w:t>
      </w:r>
    </w:p>
    <w:p>
      <w:pPr>
        <w:spacing w:before="0" w:after="200" w:line="240" w:lineRule="auto"/>
        <w:jc w:val="both"/>
      </w:pPr>
      <w:r>
        <w:rPr>
          <w:rFonts w:ascii="Century Gothic" w:hAnsi="Century Gothic" w:cs="Century Gothic" w:eastAsia="Century Gothic"/>
          <w:b w:val="0"/>
          <w:i w:val="0"/>
          <w:sz w:val="20"/>
        </w:rPr>
        <w:t>El servicio de internet de la Carrera se distribuye desde el gabinete de red del Centro de Cómputo, ubicado en el Edificio Monoblock Central. La conexión tiene dos puntos de salida, uno a la red de la Universidad y otro a un servicio de internet propio, lo que asegura la continuidad del servicio. El ancho de banda se asigna según el número de usuarios de cada predio:</w:t>
      </w:r>
    </w:p>
    <w:p>
      <w:pPr>
        <w:keepNext/>
        <w:spacing w:before="40" w:after="80" w:line="240" w:lineRule="auto"/>
        <w:jc w:val="center"/>
      </w:pPr>
      <w:r>
        <w:rPr>
          <w:rFonts w:ascii="Century Gothic" w:hAnsi="Century Gothic" w:cs="Century Gothic" w:eastAsia="Century Gothic"/>
          <w:b/>
          <w:i w:val="0"/>
          <w:sz w:val="20"/>
        </w:rPr>
        <w:t>Cuadro 5. Servicio de internet por predio</w:t>
      </w:r>
    </w:p>
    <w:tbl>
      <w:tblPr>
        <w:tblW w:type="auto" w:w="0"/>
        <w:jc w:val="center"/>
        <w:tblLayout w:type="fixed"/>
        <w:tblLook w:firstColumn="1" w:firstRow="1" w:lastColumn="0" w:lastRow="0" w:noHBand="0" w:noVBand="1" w:val="04A0"/>
      </w:tblPr>
      <w:tblGrid>
        <w:gridCol w:w="2835"/>
        <w:gridCol w:w="1701"/>
        <w:gridCol w:w="4535"/>
      </w:tblGrid>
      <w:tr>
        <w:trPr>
          <w:tblHeader/>
        </w:trPr>
        <w:tc>
          <w:tcPr>
            <w:tcW w:type="dxa" w:w="28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Predio</w:t>
            </w:r>
          </w:p>
        </w:tc>
        <w:tc>
          <w:tcPr>
            <w:tcW w:type="dxa" w:w="17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Ancho de banda</w:t>
            </w:r>
          </w:p>
        </w:tc>
        <w:tc>
          <w:tcPr>
            <w:tcW w:type="dxa" w:w="45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20"/>
              </w:rPr>
              <w:t>Cobertura</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Edificio Nava Morales, Av. Montes</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385 Mbps</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Laboratorio de computación, ambientes académicos y administrativos y red inalámbrica</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Edificio Monoblock Central, Av. Villazón</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165 Mbps</w:t>
            </w:r>
          </w:p>
        </w:tc>
        <w:tc>
          <w:tcPr>
            <w:tcW w:type="dxa" w:w="45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20"/>
              </w:rPr>
              <w:t>Laboratorio de computación, ambientes académicos y administrativos y red inalámbrica</w:t>
            </w:r>
          </w:p>
        </w:tc>
      </w:tr>
    </w:tbl>
    <w:p>
      <w:pPr>
        <w:spacing w:before="40" w:after="200" w:line="240" w:lineRule="auto"/>
        <w:jc w:val="left"/>
      </w:pPr>
      <w:r>
        <w:rPr>
          <w:rFonts w:ascii="Century Gothic" w:hAnsi="Century Gothic" w:cs="Century Gothic" w:eastAsia="Century Gothic"/>
          <w:b w:val="0"/>
          <w:i w:val="0"/>
          <w:sz w:val="16"/>
        </w:rPr>
        <w:t>Fuente: Centro de Cómputo de la Carrera de Contaduría Pública.</w:t>
      </w:r>
    </w:p>
    <w:p>
      <w:pPr>
        <w:spacing w:before="0" w:after="200" w:line="240" w:lineRule="auto"/>
        <w:jc w:val="both"/>
      </w:pPr>
      <w:r>
        <w:rPr>
          <w:rFonts w:ascii="Century Gothic" w:hAnsi="Century Gothic" w:cs="Century Gothic" w:eastAsia="Century Gothic"/>
          <w:b w:val="0"/>
          <w:i w:val="0"/>
          <w:sz w:val="20"/>
        </w:rPr>
        <w:t>Las computadoras de los laboratorios están conectadas en red y estudiantes, docentes y administrativos acceden a una red inalámbrica con las credenciales que corresponden a cada tipo de usuario. Los servidores de la Carrera se encuentran en el pool de servidores de la UMSA, que cuenta con respaldo de energía. Con el Plan 2027, el uso de la plataforma virtual, las evaluaciones en línea y el trabajo con datos en las aulas aumentará la demanda de conexión, por lo que la ampliación de la cobertura inalámbrica a todas las aulas y del ancho de banda forma parte de los requerimientos del punto 11.1.</w:t>
      </w:r>
    </w:p>
    <w:sectPr w:rsidR="00FC693F" w:rsidRPr="0006063C" w:rsidSect="00034616">
      <w:headerReference w:type="default" r:id="rId9"/>
      <w:footerReference w:type="default" r:id="rId10"/>
      <w:pgSz w:w="12240" w:h="15840"/>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01">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02">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1">
    <w:abstractNumId w:val="900"/>
    <w:lvlOverride w:ilvl="0">
      <w:startOverride w:val="1"/>
    </w:lvlOverride>
  </w:num>
  <w:num w:numId="902">
    <w:abstractNumId w:val="902"/>
    <w:lvlOverride w:ilvl="0">
      <w:startOverride w:val="1"/>
    </w:lvlOverride>
  </w:num>
  <w:num w:numId="903">
    <w:abstractNumId w:val="90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entury Gothic" w:hAnsi="Century Gothic" w:cs="Century Gothic" w:eastAsia="Century Gothic"/>
      <w:sz w:val="20"/>
      <w:lang w:val="es-BO" w:eastAsia="es-B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