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Identificación del Programa/Carrera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Identificación del programa/carrera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Facultad</w:t>
      </w:r>
    </w:p>
    <w:p>
      <w:pPr>
        <w:spacing w:before="0" w:after="200" w:line="240" w:lineRule="auto"/>
        <w:jc w:val="both"/>
      </w:pPr>
      <w:r>
        <w:rPr>
          <w:rFonts w:ascii="Century Gothic" w:hAnsi="Century Gothic" w:cs="Century Gothic" w:eastAsia="Century Gothic"/>
          <w:b w:val="0"/>
          <w:i w:val="0"/>
          <w:sz w:val="20"/>
        </w:rPr>
        <w:t>Facultad de Ciencias Económicas y Financieras de la Universidad Mayor de San Andrés.</w:t>
      </w:r>
    </w:p>
    <w:p>
      <w:pPr>
        <w:spacing w:before="0" w:after="200" w:line="240" w:lineRule="auto"/>
        <w:jc w:val="both"/>
      </w:pPr>
      <w:r>
        <w:rPr>
          <w:rFonts w:ascii="Century Gothic" w:hAnsi="Century Gothic" w:cs="Century Gothic" w:eastAsia="Century Gothic"/>
          <w:b w:val="0"/>
          <w:i w:val="0"/>
          <w:sz w:val="20"/>
        </w:rP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Programa/carrera</w:t>
      </w:r>
    </w:p>
    <w:p>
      <w:pPr>
        <w:spacing w:before="0" w:after="200" w:line="240" w:lineRule="auto"/>
        <w:jc w:val="both"/>
      </w:pPr>
      <w:r>
        <w:rPr>
          <w:rFonts w:ascii="Century Gothic" w:hAnsi="Century Gothic" w:cs="Century Gothic" w:eastAsia="Century Gothic"/>
          <w:b w:val="0"/>
          <w:i w:val="0"/>
          <w:sz w:val="20"/>
        </w:rPr>
        <w:t>Carrera de Contaduría Pública.</w:t>
      </w:r>
    </w:p>
    <w:p>
      <w:pPr>
        <w:spacing w:before="0" w:after="200" w:line="240" w:lineRule="auto"/>
        <w:jc w:val="both"/>
      </w:pPr>
      <w:r>
        <w:rPr>
          <w:rFonts w:ascii="Century Gothic" w:hAnsi="Century Gothic" w:cs="Century Gothic" w:eastAsia="Century Gothic"/>
          <w:b w:val="0"/>
          <w:i w:val="0"/>
          <w:sz w:val="20"/>
        </w:rPr>
        <w:t>La Carrera fue creada con la denominación de Carrera de Auditoría. El cambio de nombre a Carrera de Contaduría Pública se gestionó a partir de las siguientes disposiciones:</w:t>
      </w:r>
    </w:p>
    <w:tbl>
      <w:tblPr>
        <w:tblW w:type="auto" w:w="0"/>
        <w:jc w:val="center"/>
        <w:tblLayout w:type="fixed"/>
        <w:tblLook w:firstColumn="1" w:firstRow="1" w:lastColumn="0" w:lastRow="0" w:noHBand="0" w:noVBand="1" w:val="04A0"/>
      </w:tblPr>
      <w:tblGrid>
        <w:gridCol w:w="2381"/>
        <w:gridCol w:w="1871"/>
        <w:gridCol w:w="4819"/>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186/2000</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de agosto de 2000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el cambio de nombre de la Carrera de Auditoría por el de Contaduría Pública. Esta resolución no llegó a aplicarse.</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del Honorable Consejo de Carrera de Auditoría N.º 142/2011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19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Dispone el cambio de nombre de la Carrera, del título académico de Licenciado en Auditoría por el de Licenciado en Contaduría Pública y del título en provisión nacional de Auditor Financiero por el de Contador Público Autorizado.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HCF N.º 613/2011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Homologa la Resolución del Honorable Consejo de Carrera N.º 142/2011.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438/2012</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 de septiembre de 2012</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la denominación de Carrera de Contaduría Pública y la nomenclatura de los títulos que otorga la Carrera.</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Fecha de creación y Resolución HCU</w:t>
      </w:r>
    </w:p>
    <w:p>
      <w:pPr>
        <w:spacing w:before="0" w:after="200" w:line="240" w:lineRule="auto"/>
        <w:jc w:val="both"/>
      </w:pPr>
      <w:r>
        <w:rPr>
          <w:rFonts w:ascii="Century Gothic" w:hAnsi="Century Gothic" w:cs="Century Gothic" w:eastAsia="Century Gothic"/>
          <w:b w:val="0"/>
          <w:i w:val="0"/>
          <w:sz w:val="20"/>
        </w:rPr>
        <w:t xml:space="preserve">La Carrera de Auditoría fue fundada el 25 de agosto de 1970 e inició sus actividades académicas en la gestión 1971, como unidad dependiente de la Facultad de Ciencias Económicas y Financieras de la Universidad Mayor de San Andrés. </w:t>
      </w:r>
      <w:r>
        <w:rPr>
          <w:rFonts w:ascii="Century Gothic" w:hAnsi="Century Gothic" w:cs="Century Gothic" w:eastAsia="Century Gothic"/>
          <w:b w:val="0"/>
          <w:i w:val="0"/>
          <w:sz w:val="20"/>
          <w:highlight w:val="green"/>
        </w:rPr>
        <w:t>Su creación tiene origen en el Congreso Interno de la Facultad realizado en 1970, en el contexto de la Revolución Universitaria de abril de ese año.</w:t>
      </w:r>
    </w:p>
    <w:p>
      <w:pPr>
        <w:spacing w:before="0" w:after="200" w:line="240" w:lineRule="auto"/>
        <w:jc w:val="both"/>
      </w:pPr>
      <w:r>
        <w:rPr>
          <w:rFonts w:ascii="Century Gothic" w:hAnsi="Century Gothic" w:cs="Century Gothic" w:eastAsia="Century Gothic"/>
          <w:b w:val="0"/>
          <w:i w:val="0"/>
          <w:sz w:val="20"/>
        </w:rP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Resolución(es) HCU que aprobaron planes de estudio anteriores</w:t>
      </w:r>
    </w:p>
    <w:tbl>
      <w:tblPr>
        <w:tblW w:type="auto" w:w="0"/>
        <w:jc w:val="center"/>
        <w:tblLayout w:type="fixed"/>
        <w:tblLook w:firstColumn="1" w:firstRow="1" w:lastColumn="0" w:lastRow="0" w:noHBand="0" w:noVBand="1" w:val="04A0"/>
      </w:tblPr>
      <w:tblGrid>
        <w:gridCol w:w="2551"/>
        <w:gridCol w:w="3685"/>
        <w:gridCol w:w="2835"/>
      </w:tblGrid>
      <w:tr>
        <w:trPr>
          <w:tblHeader/>
        </w:trPr>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de estudios</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 de aprobación</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1999</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524/2004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 de noviembre de 2004</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025/2013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2024</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Resolución HCU N.º 233/2024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Por confirmar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Plan de Estudios 1999 fue aprobado en el II Congreso Interno de la Carrera de Auditoría y ratificado por el Honorable Consejo Universitario mediante la Resolución N.º 524/2004. El Plan de Estudios 2024 es el que se encuentra vigente y constituye el punto de partida del presente rediseño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1.5</w:t>
        <w:tab/>
      </w:r>
      <w:r>
        <w:rPr>
          <w:rFonts w:ascii="Century Gothic" w:hAnsi="Century Gothic" w:cs="Century Gothic" w:eastAsia="Century Gothic"/>
          <w:b/>
          <w:i w:val="0"/>
          <w:sz w:val="24"/>
        </w:rPr>
        <w:t>Grado académico terminal</w:t>
      </w:r>
    </w:p>
    <w:p>
      <w:pPr>
        <w:spacing w:before="0" w:after="200" w:line="240" w:lineRule="auto"/>
        <w:jc w:val="both"/>
      </w:pPr>
      <w:r>
        <w:rPr>
          <w:rFonts w:ascii="Century Gothic" w:hAnsi="Century Gothic" w:cs="Century Gothic" w:eastAsia="Century Gothic"/>
          <w:b w:val="0"/>
          <w:i w:val="0"/>
          <w:sz w:val="20"/>
        </w:rPr>
        <w:t>Licenciatura.</w:t>
      </w:r>
    </w:p>
    <w:p>
      <w:pPr>
        <w:spacing w:before="0" w:after="200" w:line="240" w:lineRule="auto"/>
        <w:jc w:val="both"/>
      </w:pPr>
      <w:r>
        <w:rPr>
          <w:rFonts w:ascii="Century Gothic" w:hAnsi="Century Gothic" w:cs="Century Gothic" w:eastAsia="Century Gothic"/>
          <w:b w:val="0"/>
          <w:i w:val="0"/>
          <w:sz w:val="20"/>
        </w:rPr>
        <w:t>Concluidos los cinco años de formación académica, acreditados con el certificado de egreso, y aprobada una de las modalidades de graduación vigentes, el estudiante accede al grado académico de Licenciatura en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1.6</w:t>
        <w:tab/>
      </w:r>
      <w:r>
        <w:rPr>
          <w:rFonts w:ascii="Century Gothic" w:hAnsi="Century Gothic" w:cs="Century Gothic" w:eastAsia="Century Gothic"/>
          <w:b/>
          <w:i w:val="0"/>
          <w:sz w:val="24"/>
        </w:rPr>
        <w:t>Grado(s) académico(s) intermedio(s)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290/2016 aprueba la denominación de Técnico Universitario Superior en Contabilidad General para los estudiantes de pregrado de la Carrera de Contaduría Pública. Este grado se obtiene al concluir el tercer año de formación académica y aprobar el examen de grado correspondiente.</w:t>
      </w:r>
    </w:p>
    <w:p>
      <w:pPr>
        <w:spacing w:before="0" w:after="200" w:line="240" w:lineRule="auto"/>
        <w:jc w:val="both"/>
      </w:pPr>
      <w:r>
        <w:rPr>
          <w:rFonts w:ascii="Century Gothic" w:hAnsi="Century Gothic" w:cs="Century Gothic" w:eastAsia="Century Gothic"/>
          <w:b w:val="0"/>
          <w:i w:val="0"/>
          <w:sz w:val="20"/>
        </w:rPr>
        <w:t>El Plan de Estudios 2024 reconoce además el grado de Técnico Medio, con la denominación de Auxiliar en Contabilidad General, al concluir el segundo año de formación académica.</w:t>
      </w:r>
    </w:p>
    <w:p>
      <w:pPr>
        <w:spacing w:before="0" w:after="200" w:line="240" w:lineRule="auto"/>
        <w:jc w:val="both"/>
      </w:pPr>
      <w:r>
        <w:rPr>
          <w:rFonts w:ascii="Century Gothic" w:hAnsi="Century Gothic" w:cs="Century Gothic" w:eastAsia="Century Gothic"/>
          <w:b w:val="0"/>
          <w:i w:val="0"/>
          <w:sz w:val="20"/>
        </w:rPr>
        <w:t>Ambos grados se encuentran tipificados en el Artículo 4 del Reglamento General de Títulos y Grados aprobado en el XII Congreso Nacional de Universidades.</w:t>
      </w:r>
    </w:p>
    <w:tbl>
      <w:tblPr>
        <w:tblW w:type="auto" w:w="0"/>
        <w:jc w:val="center"/>
        <w:tblLayout w:type="fixed"/>
        <w:tblLook w:firstColumn="1" w:firstRow="1" w:lastColumn="0" w:lastRow="0" w:noHBand="0" w:noVBand="1" w:val="04A0"/>
      </w:tblPr>
      <w:tblGrid>
        <w:gridCol w:w="1984"/>
        <w:gridCol w:w="3969"/>
        <w:gridCol w:w="3118"/>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 concluido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en provisión nacional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Medio, Auxiliar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 corresponde</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Tercer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General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Quinto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1.7</w:t>
        <w:tab/>
      </w:r>
      <w:r>
        <w:rPr>
          <w:rFonts w:ascii="Century Gothic" w:hAnsi="Century Gothic" w:cs="Century Gothic" w:eastAsia="Century Gothic"/>
          <w:b/>
          <w:i w:val="0"/>
          <w:sz w:val="24"/>
        </w:rPr>
        <w:t>Sede(s)</w:t>
      </w:r>
    </w:p>
    <w:p>
      <w:pPr>
        <w:numPr>
          <w:ilvl w:val="0"/>
          <w:numId w:val="901"/>
        </w:numPr>
        <w:spacing w:before="0" w:after="160" w:line="240" w:lineRule="auto"/>
        <w:jc w:val="both"/>
      </w:pPr>
      <w:r>
        <w:rPr>
          <w:rFonts w:ascii="Century Gothic" w:hAnsi="Century Gothic" w:cs="Century Gothic" w:eastAsia="Century Gothic"/>
          <w:b/>
          <w:i w:val="0"/>
          <w:sz w:val="20"/>
        </w:rPr>
        <w:t>Sede central:</w:t>
      </w:r>
      <w:r>
        <w:rPr>
          <w:rFonts w:ascii="Century Gothic" w:hAnsi="Century Gothic" w:cs="Century Gothic" w:eastAsia="Century Gothic"/>
          <w:b w:val="0"/>
          <w:i w:val="0"/>
          <w:sz w:val="20"/>
        </w:rPr>
        <w:t xml:space="preserve"> ciudad de La Paz, en predios de la Facultad de Ciencias Económicas y Financieras de la Universidad Mayor de San Andrés.</w:t>
      </w:r>
    </w:p>
    <w:p>
      <w:pPr>
        <w:numPr>
          <w:ilvl w:val="0"/>
          <w:numId w:val="901"/>
        </w:numPr>
        <w:spacing w:before="0" w:after="200" w:line="240" w:lineRule="auto"/>
        <w:jc w:val="both"/>
      </w:pPr>
      <w:r>
        <w:rPr>
          <w:rFonts w:ascii="Century Gothic" w:hAnsi="Century Gothic" w:cs="Century Gothic" w:eastAsia="Century Gothic"/>
          <w:b/>
          <w:i w:val="0"/>
          <w:sz w:val="20"/>
        </w:rPr>
        <w:t>Programa Académico Desconcentrado Técnico Superior Contador General:</w:t>
      </w:r>
      <w:r>
        <w:rPr>
          <w:rFonts w:ascii="Century Gothic" w:hAnsi="Century Gothic" w:cs="Century Gothic" w:eastAsia="Century Gothic"/>
          <w:b w:val="0"/>
          <w:i w:val="0"/>
          <w:sz w:val="20"/>
        </w:rPr>
        <w:t xml:space="preserve"> Centro Regional Universitario Yungas, en Chulumani, y Sede Universitaria Local Caranavi.</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1.8</w:t>
        <w:tab/>
      </w:r>
      <w:r>
        <w:rPr>
          <w:rFonts w:ascii="Century Gothic" w:hAnsi="Century Gothic" w:cs="Century Gothic" w:eastAsia="Century Gothic"/>
          <w:b/>
          <w:i w:val="0"/>
          <w:sz w:val="24"/>
        </w:rPr>
        <w:t>Diploma académico terminal</w:t>
      </w:r>
    </w:p>
    <w:p>
      <w:pPr>
        <w:spacing w:before="0" w:after="200" w:line="240" w:lineRule="auto"/>
        <w:jc w:val="both"/>
      </w:pPr>
      <w:r>
        <w:rPr>
          <w:rFonts w:ascii="Century Gothic" w:hAnsi="Century Gothic" w:cs="Century Gothic" w:eastAsia="Century Gothic"/>
          <w:b w:val="0"/>
          <w:i w:val="0"/>
          <w:sz w:val="20"/>
        </w:rPr>
        <w:t>Licenciado(a) en Contaduría Pública,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1.9</w:t>
        <w:tab/>
      </w:r>
      <w:r>
        <w:rPr>
          <w:rFonts w:ascii="Century Gothic" w:hAnsi="Century Gothic" w:cs="Century Gothic" w:eastAsia="Century Gothic"/>
          <w:b/>
          <w:i w:val="0"/>
          <w:sz w:val="24"/>
        </w:rPr>
        <w:t>Diploma(s) académico(s) intermedio(s)</w:t>
      </w:r>
    </w:p>
    <w:p>
      <w:pPr>
        <w:spacing w:before="0" w:after="200" w:line="240" w:lineRule="auto"/>
        <w:jc w:val="both"/>
      </w:pPr>
      <w:r>
        <w:rPr>
          <w:rFonts w:ascii="Century Gothic" w:hAnsi="Century Gothic" w:cs="Century Gothic" w:eastAsia="Century Gothic"/>
          <w:b w:val="0"/>
          <w:i w:val="0"/>
          <w:sz w:val="20"/>
        </w:rPr>
        <w:t>Técnico Universitario Superior en Contabilidad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1.10</w:t>
        <w:tab/>
      </w:r>
      <w:r>
        <w:rPr>
          <w:rFonts w:ascii="Century Gothic" w:hAnsi="Century Gothic" w:cs="Century Gothic" w:eastAsia="Century Gothic"/>
          <w:b/>
          <w:i w:val="0"/>
          <w:sz w:val="24"/>
        </w:rPr>
        <w:t>Título profesional</w:t>
      </w:r>
    </w:p>
    <w:p>
      <w:pPr>
        <w:spacing w:before="0" w:after="200" w:line="240" w:lineRule="auto"/>
        <w:jc w:val="both"/>
      </w:pPr>
      <w:r>
        <w:rPr>
          <w:rFonts w:ascii="Century Gothic" w:hAnsi="Century Gothic" w:cs="Century Gothic" w:eastAsia="Century Gothic"/>
          <w:b w:val="0"/>
          <w:i w:val="0"/>
          <w:sz w:val="20"/>
        </w:rPr>
        <w:t>Título en provisión nacional de Contador Público Autorizado,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1.11</w:t>
        <w:tab/>
      </w:r>
      <w:r>
        <w:rPr>
          <w:rFonts w:ascii="Century Gothic" w:hAnsi="Century Gothic" w:cs="Century Gothic" w:eastAsia="Century Gothic"/>
          <w:b/>
          <w:i w:val="0"/>
          <w:sz w:val="24"/>
        </w:rPr>
        <w:t>Título(s) profesional(es) intermedio(s)</w:t>
      </w:r>
    </w:p>
    <w:p>
      <w:pPr>
        <w:spacing w:before="0" w:after="200" w:line="240" w:lineRule="auto"/>
        <w:jc w:val="both"/>
      </w:pPr>
      <w:r>
        <w:rPr>
          <w:rFonts w:ascii="Century Gothic" w:hAnsi="Century Gothic" w:cs="Century Gothic" w:eastAsia="Century Gothic"/>
          <w:b w:val="0"/>
          <w:i w:val="0"/>
          <w:sz w:val="20"/>
        </w:rPr>
        <w:t>Título en provisión nacional de Contador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1.12</w:t>
        <w:tab/>
      </w:r>
      <w:r>
        <w:rPr>
          <w:rFonts w:ascii="Century Gothic" w:hAnsi="Century Gothic" w:cs="Century Gothic" w:eastAsia="Century Gothic"/>
          <w:b/>
          <w:i w:val="0"/>
          <w:sz w:val="24"/>
        </w:rPr>
        <w:t>Modalidad(es) de docencia</w:t>
      </w:r>
    </w:p>
    <w:p>
      <w:pPr>
        <w:spacing w:before="0" w:after="200" w:line="240" w:lineRule="auto"/>
        <w:jc w:val="both"/>
      </w:pPr>
      <w:r>
        <w:rPr>
          <w:rFonts w:ascii="Century Gothic" w:hAnsi="Century Gothic" w:cs="Century Gothic" w:eastAsia="Century Gothic"/>
          <w:b w:val="0"/>
          <w:i w:val="0"/>
          <w:sz w:val="20"/>
        </w:rPr>
        <w:t>La Carrera desarrolla sus actividades académicas en modalidad presencial, bajo régimen anual. Las plataformas virtuales de la Universidad se emplean como apoyo al proceso de enseñanza y aprendizaje, sin sustituir las horas presenciales previstas en el plan de estudios.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1.13</w:t>
        <w:tab/>
      </w:r>
      <w:r>
        <w:rPr>
          <w:rFonts w:ascii="Century Gothic" w:hAnsi="Century Gothic" w:cs="Century Gothic" w:eastAsia="Century Gothic"/>
          <w:b/>
          <w:i w:val="0"/>
          <w:sz w:val="24"/>
        </w:rPr>
        <w:t>Otras características</w:t>
      </w:r>
    </w:p>
    <w:p>
      <w:pPr>
        <w:numPr>
          <w:ilvl w:val="0"/>
          <w:numId w:val="902"/>
        </w:numPr>
        <w:spacing w:before="0" w:after="160" w:line="240" w:lineRule="auto"/>
        <w:jc w:val="both"/>
      </w:pPr>
      <w:r>
        <w:rPr>
          <w:rFonts w:ascii="Century Gothic" w:hAnsi="Century Gothic" w:cs="Century Gothic" w:eastAsia="Century Gothic"/>
          <w:b/>
          <w:i w:val="0"/>
          <w:sz w:val="20"/>
        </w:rPr>
        <w:t>Acreditación:</w:t>
      </w:r>
      <w:r>
        <w:rPr>
          <w:rFonts w:ascii="Century Gothic" w:hAnsi="Century Gothic" w:cs="Century Gothic" w:eastAsia="Century Gothic"/>
          <w:b w:val="0"/>
          <w:i w:val="0"/>
          <w:sz w:val="20"/>
        </w:rPr>
        <w:t xml:space="preserve"> la Carrera de Contaduría Pública es una unidad académica acreditada mediante la Resolución N.º 09/2015 de la VI Conferencia Nacional Extraordinaria de Universidades.</w:t>
      </w:r>
    </w:p>
    <w:p>
      <w:pPr>
        <w:numPr>
          <w:ilvl w:val="0"/>
          <w:numId w:val="902"/>
        </w:numPr>
        <w:spacing w:before="0" w:after="160" w:line="240" w:lineRule="auto"/>
        <w:jc w:val="both"/>
      </w:pPr>
      <w:r>
        <w:rPr>
          <w:rFonts w:ascii="Century Gothic" w:hAnsi="Century Gothic" w:cs="Century Gothic" w:eastAsia="Century Gothic"/>
          <w:b/>
          <w:i w:val="0"/>
          <w:sz w:val="20"/>
        </w:rPr>
        <w:t>Nivel de innovación curricular:</w:t>
      </w:r>
      <w:r>
        <w:rPr>
          <w:rFonts w:ascii="Century Gothic" w:hAnsi="Century Gothic" w:cs="Century Gothic" w:eastAsia="Century Gothic"/>
          <w:b w:val="0"/>
          <w:i w:val="0"/>
          <w:sz w:val="20"/>
        </w:rPr>
        <w:t xml:space="preserve"> rediseño curricular, conforme al Artículo 5 del Reglamento de Innovación Curricular de la Universidad Mayor de San Andrés, aprobado mediante Resolución del Honorable Consejo Universitario N.º 032/2025, de 12 de febrero de 2025.</w:t>
      </w:r>
    </w:p>
    <w:p>
      <w:pPr>
        <w:numPr>
          <w:ilvl w:val="0"/>
          <w:numId w:val="902"/>
        </w:numPr>
        <w:spacing w:before="0" w:after="160" w:line="240" w:lineRule="auto"/>
        <w:jc w:val="both"/>
      </w:pPr>
      <w:r>
        <w:rPr>
          <w:rFonts w:ascii="Century Gothic" w:hAnsi="Century Gothic" w:cs="Century Gothic" w:eastAsia="Century Gothic"/>
          <w:b/>
          <w:i w:val="0"/>
          <w:sz w:val="20"/>
        </w:rPr>
        <w:t>Declaratoria de necesidad:</w:t>
      </w:r>
      <w:r>
        <w:rPr>
          <w:rFonts w:ascii="Century Gothic" w:hAnsi="Century Gothic" w:cs="Century Gothic" w:eastAsia="Century Gothic"/>
          <w:b w:val="0"/>
          <w:i w:val="0"/>
          <w:sz w:val="20"/>
        </w:rP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pPr>
        <w:numPr>
          <w:ilvl w:val="0"/>
          <w:numId w:val="902"/>
        </w:numPr>
        <w:spacing w:before="0" w:after="160" w:line="240" w:lineRule="auto"/>
        <w:jc w:val="both"/>
      </w:pPr>
      <w:r>
        <w:rPr>
          <w:rFonts w:ascii="Century Gothic" w:hAnsi="Century Gothic" w:cs="Century Gothic" w:eastAsia="Century Gothic"/>
          <w:b/>
          <w:i w:val="0"/>
          <w:sz w:val="20"/>
        </w:rPr>
        <w:t>Enfoque formativo:</w:t>
      </w:r>
      <w:r>
        <w:rPr>
          <w:rFonts w:ascii="Century Gothic" w:hAnsi="Century Gothic" w:cs="Century Gothic" w:eastAsia="Century Gothic"/>
          <w:b w:val="0"/>
          <w:i w:val="0"/>
          <w:sz w:val="20"/>
        </w:rPr>
        <w:t xml:space="preserve"> formación por competencias, orientada al perfil del Contador Público Autorizado 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pPr>
        <w:numPr>
          <w:ilvl w:val="0"/>
          <w:numId w:val="902"/>
        </w:numPr>
        <w:spacing w:before="0" w:after="200" w:line="240" w:lineRule="auto"/>
        <w:jc w:val="both"/>
      </w:pPr>
      <w:r>
        <w:rPr>
          <w:rFonts w:ascii="Century Gothic" w:hAnsi="Century Gothic" w:cs="Century Gothic" w:eastAsia="Century Gothic"/>
          <w:b/>
          <w:i w:val="0"/>
          <w:sz w:val="20"/>
        </w:rPr>
        <w:t>Aplicación del nuevo plan:</w:t>
      </w:r>
      <w:r>
        <w:rPr>
          <w:rFonts w:ascii="Century Gothic" w:hAnsi="Century Gothic" w:cs="Century Gothic" w:eastAsia="Century Gothic"/>
          <w:b w:val="0"/>
          <w:i w:val="0"/>
          <w:sz w:val="20"/>
        </w:rPr>
        <w:t xml:space="preserve"> una vez aprobado en las instancias de cogobierno, el plan de estudios rediseñado se aplicará en la gestión siguiente, conforme al Artículo 16 del Reglamento de Innovación Curricular.</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