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Recursos Educativos</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10.</w:t>
        <w:tab/>
      </w:r>
      <w:r>
        <w:rPr>
          <w:rFonts w:ascii="Century Gothic" w:hAnsi="Century Gothic" w:cs="Century Gothic" w:eastAsia="Century Gothic"/>
          <w:b/>
          <w:i w:val="0"/>
          <w:sz w:val="24"/>
        </w:rPr>
        <w:t>Recursos educativos</w:t>
      </w:r>
    </w:p>
    <w:p>
      <w:pPr>
        <w:spacing w:before="0" w:after="200" w:line="240" w:lineRule="auto"/>
        <w:jc w:val="both"/>
      </w:pPr>
      <w:r>
        <w:rPr>
          <w:rFonts w:ascii="Century Gothic" w:hAnsi="Century Gothic" w:cs="Century Gothic" w:eastAsia="Century Gothic"/>
          <w:b w:val="0"/>
          <w:i w:val="0"/>
          <w:sz w:val="20"/>
        </w:rPr>
        <w:t>Este punto describe los recursos educativos con que cuenta la Carrera para el desarrollo del Plan de Estudios 2027 y señala las brechas respecto de lo que exige un modelo por competencias con uso intensivo de tecnología. Los recursos se distribuyen entre el Edificio Nava Morales, en la Av. Montes esquina Pando, donde se desarrollan las asignaturas de primer y segundo año, y el Edificio Monoblock Central, en la Av. Villazón, donde se desarrollan las de tercer año en adelante.</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10.1</w:t>
        <w:tab/>
      </w:r>
      <w:r>
        <w:rPr>
          <w:rFonts w:ascii="Century Gothic" w:hAnsi="Century Gothic" w:cs="Century Gothic" w:eastAsia="Century Gothic"/>
          <w:b/>
          <w:i w:val="0"/>
          <w:sz w:val="24"/>
        </w:rPr>
        <w:t>Equipos multimedia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10.1.1</w:t>
        <w:tab/>
      </w:r>
      <w:r>
        <w:rPr>
          <w:rFonts w:ascii="Century Gothic" w:hAnsi="Century Gothic" w:cs="Century Gothic" w:eastAsia="Century Gothic"/>
          <w:b/>
          <w:i w:val="0"/>
          <w:sz w:val="22"/>
        </w:rPr>
        <w:t>Equipos de proyección</w:t>
      </w:r>
    </w:p>
    <w:p>
      <w:pPr>
        <w:spacing w:before="0" w:after="200" w:line="240" w:lineRule="auto"/>
        <w:jc w:val="both"/>
      </w:pPr>
      <w:r>
        <w:rPr>
          <w:rFonts w:ascii="Century Gothic" w:hAnsi="Century Gothic" w:cs="Century Gothic" w:eastAsia="Century Gothic"/>
          <w:b w:val="0"/>
          <w:i w:val="0"/>
          <w:sz w:val="20"/>
        </w:rPr>
        <w:t>Todas las aulas de la Carrera cuentan con un proyector multimedia fijo y su ecrán, como se detalla a continuación:</w:t>
      </w:r>
    </w:p>
    <w:p>
      <w:pPr>
        <w:keepNext/>
        <w:spacing w:before="40" w:after="80" w:line="240" w:lineRule="auto"/>
        <w:jc w:val="center"/>
      </w:pPr>
      <w:r>
        <w:rPr>
          <w:rFonts w:ascii="Century Gothic" w:hAnsi="Century Gothic" w:cs="Century Gothic" w:eastAsia="Century Gothic"/>
          <w:b/>
          <w:i w:val="0"/>
          <w:sz w:val="20"/>
        </w:rPr>
        <w:t>Cuadro 1. Equipos de proyección</w:t>
      </w:r>
    </w:p>
    <w:tbl>
      <w:tblPr>
        <w:tblW w:type="auto" w:w="0"/>
        <w:jc w:val="center"/>
        <w:tblLayout w:type="fixed"/>
        <w:tblLook w:firstColumn="1" w:firstRow="1" w:lastColumn="0" w:lastRow="0" w:noHBand="0" w:noVBand="1" w:val="04A0"/>
      </w:tblPr>
      <w:tblGrid>
        <w:gridCol w:w="2494"/>
        <w:gridCol w:w="3175"/>
        <w:gridCol w:w="1701"/>
        <w:gridCol w:w="1701"/>
      </w:tblGrid>
      <w:tr>
        <w:trPr>
          <w:tblHeader/>
        </w:trPr>
        <w:tc>
          <w:tcPr>
            <w:tcW w:type="dxa" w:w="24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Edificio</w:t>
            </w:r>
          </w:p>
        </w:tc>
        <w:tc>
          <w:tcPr>
            <w:tcW w:type="dxa" w:w="317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Ambiente</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Proyector multimedia</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Ecrán</w:t>
            </w:r>
          </w:p>
        </w:tc>
      </w:tr>
      <w:tr>
        <w:tc>
          <w:tcPr>
            <w:tcW w:type="dxa" w:w="24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Nava Morales</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Aulas 1 a 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8</w:t>
            </w:r>
          </w:p>
        </w:tc>
      </w:tr>
      <w:tr>
        <w:tc>
          <w:tcPr>
            <w:tcW w:type="dxa" w:w="24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Nava Morales</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Aula multipropósito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w:t>
            </w:r>
          </w:p>
        </w:tc>
      </w:tr>
      <w:tr>
        <w:tc>
          <w:tcPr>
            <w:tcW w:type="dxa" w:w="24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Nava Morales</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Sala de computación</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w:t>
            </w:r>
          </w:p>
        </w:tc>
      </w:tr>
      <w:tr>
        <w:tc>
          <w:tcPr>
            <w:tcW w:type="dxa" w:w="24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Monoblock Central</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Pabellones A, B, C y D</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w:t>
            </w:r>
          </w:p>
        </w:tc>
      </w:tr>
      <w:tr>
        <w:tc>
          <w:tcPr>
            <w:tcW w:type="dxa" w:w="24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Monoblock Central</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Sala del Consejo de Carrera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w:t>
            </w:r>
          </w:p>
        </w:tc>
      </w:tr>
      <w:tr>
        <w:tc>
          <w:tcPr>
            <w:tcW w:type="dxa" w:w="24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Monoblock Central</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Laboratorio de computación, equipo para préstamo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w:t>
            </w:r>
          </w:p>
        </w:tc>
      </w:tr>
      <w:tr>
        <w:tc>
          <w:tcPr>
            <w:tcW w:type="dxa" w:w="24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Total</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16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15</w:t>
            </w:r>
          </w:p>
        </w:tc>
      </w:tr>
    </w:tbl>
    <w:p>
      <w:pPr>
        <w:spacing w:before="40" w:after="200" w:line="240" w:lineRule="auto"/>
        <w:jc w:val="left"/>
      </w:pPr>
      <w:r>
        <w:rPr>
          <w:rFonts w:ascii="Century Gothic" w:hAnsi="Century Gothic" w:cs="Century Gothic" w:eastAsia="Century Gothic"/>
          <w:b w:val="0"/>
          <w:i w:val="0"/>
          <w:sz w:val="16"/>
        </w:rPr>
        <w:t>Fuente: Centro de Cómputo de la Carrera de Contaduría Pública.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10.1.2</w:t>
        <w:tab/>
      </w:r>
      <w:r>
        <w:rPr>
          <w:rFonts w:ascii="Century Gothic" w:hAnsi="Century Gothic" w:cs="Century Gothic" w:eastAsia="Century Gothic"/>
          <w:b/>
          <w:i w:val="0"/>
          <w:sz w:val="22"/>
        </w:rPr>
        <w:t>Equipos de sonido</w:t>
      </w:r>
    </w:p>
    <w:p>
      <w:pPr>
        <w:keepNext/>
        <w:spacing w:before="40" w:after="80" w:line="240" w:lineRule="auto"/>
        <w:jc w:val="center"/>
      </w:pPr>
      <w:r>
        <w:rPr>
          <w:rFonts w:ascii="Century Gothic" w:hAnsi="Century Gothic" w:cs="Century Gothic" w:eastAsia="Century Gothic"/>
          <w:b/>
          <w:i w:val="0"/>
          <w:sz w:val="20"/>
        </w:rPr>
        <w:t>Cuadro 2. Equipos de sonido</w:t>
      </w:r>
    </w:p>
    <w:tbl>
      <w:tblPr>
        <w:tblW w:type="auto" w:w="0"/>
        <w:jc w:val="center"/>
        <w:tblLayout w:type="fixed"/>
        <w:tblLook w:firstColumn="1" w:firstRow="1" w:lastColumn="0" w:lastRow="0" w:noHBand="0" w:noVBand="1" w:val="04A0"/>
      </w:tblPr>
      <w:tblGrid>
        <w:gridCol w:w="2268"/>
        <w:gridCol w:w="2608"/>
        <w:gridCol w:w="4195"/>
      </w:tblGrid>
      <w:tr>
        <w:trPr>
          <w:tblHeader/>
        </w:trPr>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Equipo</w:t>
            </w:r>
          </w:p>
        </w:tc>
        <w:tc>
          <w:tcPr>
            <w:tcW w:type="dxa" w:w="26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Componentes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Equipo de sonido portátil</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Centro de Cómputo, Monoblock Central</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Dos parlantes, una consola de ecualización, un micrófono cableado y dos pedestales de piso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Atriles con parlante</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Pabellones A, B, C y D, Monoblock Central</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 atril con parlante incorporado en cada pabellón</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Equipo de sonido del auditorio</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Auditorio, Edificio Nava Morales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Consola mezcladora de 12 canales con amplificador estéreo, consola de control de luces y ocho micrófonos inalámbricos</w:t>
            </w:r>
          </w:p>
        </w:tc>
      </w:tr>
    </w:tbl>
    <w:p>
      <w:pPr>
        <w:spacing w:before="40" w:after="200" w:line="240" w:lineRule="auto"/>
        <w:jc w:val="left"/>
      </w:pPr>
      <w:r>
        <w:rPr>
          <w:rFonts w:ascii="Century Gothic" w:hAnsi="Century Gothic" w:cs="Century Gothic" w:eastAsia="Century Gothic"/>
          <w:b w:val="0"/>
          <w:i w:val="0"/>
          <w:sz w:val="16"/>
        </w:rPr>
        <w:t>Fuente: Centro de Cómputo de la Carrera de Contaduría Pública.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10.2</w:t>
        <w:tab/>
      </w:r>
      <w:r>
        <w:rPr>
          <w:rFonts w:ascii="Century Gothic" w:hAnsi="Century Gothic" w:cs="Century Gothic" w:eastAsia="Century Gothic"/>
          <w:b/>
          <w:i w:val="0"/>
          <w:sz w:val="24"/>
        </w:rPr>
        <w:t>Computadoras en red</w:t>
      </w:r>
    </w:p>
    <w:p>
      <w:pPr>
        <w:spacing w:before="0" w:after="200" w:line="240" w:lineRule="auto"/>
        <w:jc w:val="both"/>
      </w:pPr>
      <w:r>
        <w:rPr>
          <w:rFonts w:ascii="Century Gothic" w:hAnsi="Century Gothic" w:cs="Century Gothic" w:eastAsia="Century Gothic"/>
          <w:b w:val="0"/>
          <w:i w:val="0"/>
          <w:sz w:val="20"/>
        </w:rPr>
        <w:t>Las computadoras de los laboratorios de los edificios Nava Morales y Monoblock Central están conectadas en red y tienen acceso a internet mediante dos puntos de salida, uno a la red de la Universidad y otro a un servicio de internet propio, lo que asegura la continuidad del servicio. Estudiantes, docentes y administrativos acceden además a la red inalámbrica de la Carrera. Las características del servicio de internet se presentan en el punto 9.4.</w:t>
      </w:r>
    </w:p>
    <w:p>
      <w:pPr>
        <w:spacing w:before="0" w:after="200" w:line="240" w:lineRule="auto"/>
        <w:jc w:val="both"/>
      </w:pPr>
      <w:r>
        <w:rPr>
          <w:rFonts w:ascii="Century Gothic" w:hAnsi="Century Gothic" w:cs="Century Gothic" w:eastAsia="Century Gothic"/>
          <w:b w:val="0"/>
          <w:i w:val="0"/>
          <w:sz w:val="20"/>
        </w:rPr>
        <w:t>La Carrera cuenta con dos servidores propios, instalados en el pool de servidores del Monoblock Central, que garantiza funcionamiento continuo, acceso restringido, alta disponibilidad y alta velocidad de conexión. Los servidores alojan los siguientes sistemas:</w:t>
      </w:r>
    </w:p>
    <w:p>
      <w:pPr>
        <w:numPr>
          <w:ilvl w:val="0"/>
          <w:numId w:val="901"/>
        </w:numPr>
        <w:spacing w:before="0" w:after="160" w:line="240" w:lineRule="auto"/>
        <w:jc w:val="both"/>
      </w:pPr>
      <w:r>
        <w:rPr>
          <w:rFonts w:ascii="Century Gothic" w:hAnsi="Century Gothic" w:cs="Century Gothic" w:eastAsia="Century Gothic"/>
          <w:b w:val="0"/>
          <w:i w:val="0"/>
          <w:sz w:val="20"/>
        </w:rPr>
        <w:t>Sistema de Seguimiento Académico.</w:t>
      </w:r>
    </w:p>
    <w:p>
      <w:pPr>
        <w:numPr>
          <w:ilvl w:val="0"/>
          <w:numId w:val="901"/>
        </w:numPr>
        <w:spacing w:before="0" w:after="160" w:line="240" w:lineRule="auto"/>
        <w:jc w:val="both"/>
      </w:pPr>
      <w:r>
        <w:rPr>
          <w:rFonts w:ascii="Century Gothic" w:hAnsi="Century Gothic" w:cs="Century Gothic" w:eastAsia="Century Gothic"/>
          <w:b w:val="0"/>
          <w:i w:val="0"/>
          <w:sz w:val="20"/>
        </w:rPr>
        <w:t>Plataforma virtual Moodle de la Carrera, de la Unidad de Postgrado y del PETAENG.</w:t>
      </w:r>
    </w:p>
    <w:p>
      <w:pPr>
        <w:numPr>
          <w:ilvl w:val="0"/>
          <w:numId w:val="901"/>
        </w:numPr>
        <w:spacing w:before="0" w:after="160" w:line="240" w:lineRule="auto"/>
        <w:jc w:val="both"/>
      </w:pPr>
      <w:r>
        <w:rPr>
          <w:rFonts w:ascii="Century Gothic" w:hAnsi="Century Gothic" w:cs="Century Gothic" w:eastAsia="Century Gothic"/>
          <w:b w:val="0"/>
          <w:i w:val="0"/>
          <w:sz w:val="20"/>
        </w:rPr>
        <w:t>Páginas web de la Carrera, de la Unidad de Postgrado y del PETAENG.</w:t>
      </w:r>
    </w:p>
    <w:p>
      <w:pPr>
        <w:numPr>
          <w:ilvl w:val="0"/>
          <w:numId w:val="901"/>
        </w:numPr>
        <w:spacing w:before="0" w:after="160" w:line="240" w:lineRule="auto"/>
        <w:jc w:val="both"/>
      </w:pPr>
      <w:r>
        <w:rPr>
          <w:rFonts w:ascii="Century Gothic" w:hAnsi="Century Gothic" w:cs="Century Gothic" w:eastAsia="Century Gothic"/>
          <w:b w:val="0"/>
          <w:i w:val="0"/>
          <w:sz w:val="20"/>
        </w:rPr>
        <w:t>Sistema de control de asistencia docente.</w:t>
      </w:r>
    </w:p>
    <w:p>
      <w:pPr>
        <w:numPr>
          <w:ilvl w:val="0"/>
          <w:numId w:val="901"/>
        </w:numPr>
        <w:spacing w:before="0" w:after="160" w:line="240" w:lineRule="auto"/>
        <w:jc w:val="both"/>
      </w:pPr>
      <w:r>
        <w:rPr>
          <w:rFonts w:ascii="Century Gothic" w:hAnsi="Century Gothic" w:cs="Century Gothic" w:eastAsia="Century Gothic"/>
          <w:b w:val="0"/>
          <w:i w:val="0"/>
          <w:sz w:val="20"/>
        </w:rPr>
        <w:t>Sistema de correlativos de la Carrera.</w:t>
      </w:r>
    </w:p>
    <w:p>
      <w:pPr>
        <w:numPr>
          <w:ilvl w:val="0"/>
          <w:numId w:val="901"/>
        </w:numPr>
        <w:spacing w:before="0" w:after="200" w:line="240" w:lineRule="auto"/>
        <w:jc w:val="both"/>
      </w:pPr>
      <w:r>
        <w:rPr>
          <w:rFonts w:ascii="Century Gothic" w:hAnsi="Century Gothic" w:cs="Century Gothic" w:eastAsia="Century Gothic"/>
          <w:b w:val="0"/>
          <w:i w:val="0"/>
          <w:sz w:val="20"/>
        </w:rPr>
        <w:t>Sistema de control de los estudiantes que optaron por una modalidad de graduación.</w:t>
      </w:r>
    </w:p>
    <w:p>
      <w:pPr>
        <w:spacing w:before="0" w:after="200" w:line="240" w:lineRule="auto"/>
        <w:jc w:val="both"/>
      </w:pPr>
      <w:r>
        <w:rPr>
          <w:rFonts w:ascii="Century Gothic" w:hAnsi="Century Gothic" w:cs="Century Gothic" w:eastAsia="Century Gothic"/>
          <w:b w:val="0"/>
          <w:i w:val="0"/>
          <w:sz w:val="20"/>
        </w:rPr>
        <w:t>Las copias de seguridad se generan de forma automática y se almacenan semanalmente en medios físicos de la Unidad de Centro de Cómputo.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10.3</w:t>
        <w:tab/>
      </w:r>
      <w:r>
        <w:rPr>
          <w:rFonts w:ascii="Century Gothic" w:hAnsi="Century Gothic" w:cs="Century Gothic" w:eastAsia="Century Gothic"/>
          <w:b/>
          <w:i w:val="0"/>
          <w:sz w:val="24"/>
        </w:rPr>
        <w:t>Software</w:t>
      </w:r>
    </w:p>
    <w:p>
      <w:pPr>
        <w:spacing w:before="0" w:after="200" w:line="240" w:lineRule="auto"/>
        <w:jc w:val="both"/>
      </w:pPr>
      <w:r>
        <w:rPr>
          <w:rFonts w:ascii="Century Gothic" w:hAnsi="Century Gothic" w:cs="Century Gothic" w:eastAsia="Century Gothic"/>
          <w:b w:val="0"/>
          <w:i w:val="0"/>
          <w:sz w:val="20"/>
        </w:rPr>
        <w:t>Las computadoras en red tienen instalado software de las siguientes categorías: ofimática, compresores de archivos, navegadores, software contable, software de programación, software de diseño gráfico, gestores de bases de datos, software de videoconferencia, software estadístico y aplicaciones de auditoría y tributación. El detalle de los programas por laboratorio se presenta en el punto 10.8 y las plataformas virtuales en el punto 10.12.</w:t>
      </w:r>
    </w:p>
    <w:p>
      <w:pPr>
        <w:spacing w:before="0" w:after="200" w:line="240" w:lineRule="auto"/>
        <w:jc w:val="both"/>
      </w:pPr>
      <w:r>
        <w:rPr>
          <w:rFonts w:ascii="Century Gothic" w:hAnsi="Century Gothic" w:cs="Century Gothic" w:eastAsia="Century Gothic"/>
          <w:b w:val="0"/>
          <w:i w:val="0"/>
          <w:sz w:val="20"/>
        </w:rPr>
        <w:t>El Plan 2027 requiere ampliar este software con herramientas del ejercicio profesional actual. El siguiente cuadro compara los requerimientos con la situación actual:</w:t>
      </w:r>
    </w:p>
    <w:p>
      <w:pPr>
        <w:keepNext/>
        <w:spacing w:before="40" w:after="80" w:line="240" w:lineRule="auto"/>
        <w:jc w:val="center"/>
      </w:pPr>
      <w:r>
        <w:rPr>
          <w:rFonts w:ascii="Century Gothic" w:hAnsi="Century Gothic" w:cs="Century Gothic" w:eastAsia="Century Gothic"/>
          <w:b/>
          <w:i w:val="0"/>
          <w:sz w:val="20"/>
        </w:rPr>
        <w:t>Cuadro 3. Software requerido por el Plan 2027</w:t>
      </w:r>
    </w:p>
    <w:tbl>
      <w:tblPr>
        <w:tblW w:type="auto" w:w="0"/>
        <w:jc w:val="center"/>
        <w:tblLayout w:type="fixed"/>
        <w:tblLook w:firstColumn="1" w:firstRow="1" w:lastColumn="0" w:lastRow="0" w:noHBand="0" w:noVBand="1" w:val="04A0"/>
      </w:tblPr>
      <w:tblGrid>
        <w:gridCol w:w="3061"/>
        <w:gridCol w:w="2154"/>
        <w:gridCol w:w="3855"/>
      </w:tblGrid>
      <w:tr>
        <w:trPr>
          <w:tblHeader/>
        </w:trPr>
        <w:tc>
          <w:tcPr>
            <w:tcW w:type="dxa" w:w="30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Requerimiento</w:t>
            </w:r>
          </w:p>
        </w:tc>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Asignaturas</w:t>
            </w:r>
          </w:p>
        </w:tc>
        <w:tc>
          <w:tcPr>
            <w:tcW w:type="dxa" w:w="385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Situación actual</w:t>
            </w:r>
          </w:p>
        </w:tc>
      </w:tr>
      <w:tr>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Sistemas de planificación de recursos empresariales, ERP</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CPA-305, CPA-404</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 disponible; solo módulos contables académicos de activos fijos, inventarios y planillas</w:t>
            </w:r>
          </w:p>
        </w:tc>
      </w:tr>
      <w:tr>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Herramientas de auditoría asistida por computadora, como ACL o IDEA</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CPA-407, CPA-502, CPA-505, CPA-508</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 disponible</w:t>
            </w:r>
          </w:p>
        </w:tc>
      </w:tr>
      <w:tr>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Análisis y visualización de datos, como Power BI y Python</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CPA-102, CPA-305, CPA-505, MAT-301</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Python 3.11, R 4.3.2 e IBM SPSS Statistics 22 en el laboratorio del Edificio Nava Morales; Power BI y Excel como medios interactivos</w:t>
            </w:r>
          </w:p>
        </w:tc>
      </w:tr>
      <w:tr>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Aplicativos tributarios del Servicio de Impuestos Nacionales</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CPA-203, CPA-503</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SIAT-Desktop en el laboratorio del Edificio Nava Morales</w:t>
            </w:r>
          </w:p>
        </w:tc>
      </w:tr>
      <w:tr>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Gestores bibliográficos y modelado de procesos</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CPA-204, CPA-404, CPA-510</w:t>
            </w:r>
          </w:p>
        </w:tc>
        <w:tc>
          <w:tcPr>
            <w:tcW w:type="dxa" w:w="385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Zotero, Bizagi Modeler, draw.io y Enterprise Architect en el laboratorio del Edificio Nava Morales</w:t>
            </w:r>
          </w:p>
        </w:tc>
      </w:tr>
    </w:tbl>
    <w:p>
      <w:pPr>
        <w:spacing w:before="40" w:after="200" w:line="240" w:lineRule="auto"/>
        <w:jc w:val="left"/>
      </w:pPr>
      <w:r>
        <w:rPr>
          <w:rFonts w:ascii="Century Gothic" w:hAnsi="Century Gothic" w:cs="Century Gothic" w:eastAsia="Century Gothic"/>
          <w:b w:val="0"/>
          <w:i w:val="0"/>
          <w:sz w:val="16"/>
        </w:rPr>
        <w:t>Fuente: elaboración con base en el inventario de software del Centro de Cómputo y la malla curricular 2027.</w:t>
      </w:r>
    </w:p>
    <w:p>
      <w:pPr>
        <w:spacing w:before="0" w:after="200" w:line="240" w:lineRule="auto"/>
        <w:jc w:val="both"/>
      </w:pPr>
      <w:r>
        <w:rPr>
          <w:rFonts w:ascii="Century Gothic" w:hAnsi="Century Gothic" w:cs="Century Gothic" w:eastAsia="Century Gothic"/>
          <w:b w:val="0"/>
          <w:i w:val="0"/>
          <w:sz w:val="20"/>
        </w:rPr>
        <w:t>La incorporación del software faltante se hará mediante licencias académicas gratuitas o de bajo costo, programas de alianzas universitarias de los proveedores y software de código abierto, conforme a las condiciones de implementación del punto 11.</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10.4</w:t>
        <w:tab/>
      </w:r>
      <w:r>
        <w:rPr>
          <w:rFonts w:ascii="Century Gothic" w:hAnsi="Century Gothic" w:cs="Century Gothic" w:eastAsia="Century Gothic"/>
          <w:b/>
          <w:i w:val="0"/>
          <w:sz w:val="24"/>
        </w:rPr>
        <w:t>Laboratorios</w:t>
      </w:r>
    </w:p>
    <w:p>
      <w:pPr>
        <w:spacing w:before="0" w:after="200" w:line="240" w:lineRule="auto"/>
        <w:jc w:val="both"/>
      </w:pPr>
      <w:r>
        <w:rPr>
          <w:rFonts w:ascii="Century Gothic" w:hAnsi="Century Gothic" w:cs="Century Gothic" w:eastAsia="Century Gothic"/>
          <w:b w:val="0"/>
          <w:i w:val="0"/>
          <w:sz w:val="20"/>
        </w:rPr>
        <w:t>La Carrera cuenta con dos laboratorios de computación de uso exclusivo para clases teóricas y prácticas, investigación y trabajo en grupo, y con un auditorio para conferencias y actos académicos:</w:t>
      </w:r>
    </w:p>
    <w:p>
      <w:pPr>
        <w:keepNext/>
        <w:spacing w:before="40" w:after="80" w:line="240" w:lineRule="auto"/>
        <w:jc w:val="center"/>
      </w:pPr>
      <w:r>
        <w:rPr>
          <w:rFonts w:ascii="Century Gothic" w:hAnsi="Century Gothic" w:cs="Century Gothic" w:eastAsia="Century Gothic"/>
          <w:b/>
          <w:i w:val="0"/>
          <w:sz w:val="20"/>
        </w:rPr>
        <w:t>Cuadro 4. Laboratorios de computación y auditorio</w:t>
      </w:r>
    </w:p>
    <w:tbl>
      <w:tblPr>
        <w:tblW w:type="auto" w:w="0"/>
        <w:jc w:val="center"/>
        <w:tblLayout w:type="fixed"/>
        <w:tblLook w:firstColumn="1" w:firstRow="1" w:lastColumn="0" w:lastRow="0" w:noHBand="0" w:noVBand="1" w:val="04A0"/>
      </w:tblPr>
      <w:tblGrid>
        <w:gridCol w:w="1928"/>
        <w:gridCol w:w="2154"/>
        <w:gridCol w:w="1247"/>
        <w:gridCol w:w="1134"/>
        <w:gridCol w:w="1134"/>
        <w:gridCol w:w="1474"/>
      </w:tblGrid>
      <w:tr>
        <w:trPr>
          <w:tblHeader/>
        </w:trPr>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Edificio</w:t>
            </w:r>
          </w:p>
        </w:tc>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Ambiente</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Piso</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Uso</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Superficie</w:t>
            </w:r>
          </w:p>
        </w:tc>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Capacidad</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Nava Morales</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Sala de computación</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Cuarto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Exclusivo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61 m²</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70 estudiantes</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Nava Morales</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Sala de servidores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Cuarto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Exclusivo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12 m²</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 aplica</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Nava Morales</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Oficina del encargado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Cuarto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Exclusivo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12 m²</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 aplica</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Nava Morales</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Auditorio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Segundo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Exclusivo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247 m²</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220 personas</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Monoblock Central</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Sala de computación</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Planta baja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Exclusivo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50 m²</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36 estudiantes</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Monoblock Central</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Oficina de Jefatura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Mezanine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Exclusivo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12 m²</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 aplica</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Monoblock Central</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Oficina de cursos de temporada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Mezanine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Exclusivo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14 m²</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 aplica</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Monoblock Central</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Oficina de mantenimiento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Mezanine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Exclusivo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13 m²</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 aplica</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Monoblock Central</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Sala de espera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Mezanine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Exclusivo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10 m²</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 aplica</w:t>
            </w:r>
          </w:p>
        </w:tc>
      </w:tr>
    </w:tbl>
    <w:p>
      <w:pPr>
        <w:spacing w:before="40" w:after="200" w:line="240" w:lineRule="auto"/>
        <w:jc w:val="left"/>
      </w:pPr>
      <w:r>
        <w:rPr>
          <w:rFonts w:ascii="Century Gothic" w:hAnsi="Century Gothic" w:cs="Century Gothic" w:eastAsia="Century Gothic"/>
          <w:b w:val="0"/>
          <w:i w:val="0"/>
          <w:sz w:val="16"/>
        </w:rPr>
        <w:t>Fuente: Centro de Cómputo de la Carrera de Contaduría Pública.</w:t>
      </w:r>
    </w:p>
    <w:p>
      <w:pPr>
        <w:spacing w:before="40" w:after="80" w:line="240" w:lineRule="auto"/>
        <w:jc w:val="center"/>
      </w:pPr>
      <w:r>
        <w:drawing>
          <wp:inline xmlns:a="http://schemas.openxmlformats.org/drawingml/2006/main" xmlns:pic="http://schemas.openxmlformats.org/drawingml/2006/picture">
            <wp:extent cx="4320000" cy="3244372"/>
            <wp:docPr id="1" name="Picture 1"/>
            <wp:cNvGraphicFramePr>
              <a:graphicFrameLocks noChangeAspect="1"/>
            </wp:cNvGraphicFramePr>
            <a:graphic>
              <a:graphicData uri="http://schemas.openxmlformats.org/drawingml/2006/picture">
                <pic:pic>
                  <pic:nvPicPr>
                    <pic:cNvPr id="0" name="lab_nava.jpg"/>
                    <pic:cNvPicPr/>
                  </pic:nvPicPr>
                  <pic:blipFill>
                    <a:blip r:embed="rId11"/>
                    <a:stretch>
                      <a:fillRect/>
                    </a:stretch>
                  </pic:blipFill>
                  <pic:spPr>
                    <a:xfrm>
                      <a:off x="0" y="0"/>
                      <a:ext cx="4320000" cy="3244372"/>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1. Laboratorio de computación del Edificio Nava Morales</w:t>
      </w:r>
    </w:p>
    <w:p>
      <w:pPr>
        <w:spacing w:before="40" w:after="80" w:line="240" w:lineRule="auto"/>
        <w:jc w:val="center"/>
      </w:pPr>
      <w:r>
        <w:drawing>
          <wp:inline xmlns:a="http://schemas.openxmlformats.org/drawingml/2006/main" xmlns:pic="http://schemas.openxmlformats.org/drawingml/2006/picture">
            <wp:extent cx="3060000" cy="4087698"/>
            <wp:docPr id="2" name="Picture 2"/>
            <wp:cNvGraphicFramePr>
              <a:graphicFrameLocks noChangeAspect="1"/>
            </wp:cNvGraphicFramePr>
            <a:graphic>
              <a:graphicData uri="http://schemas.openxmlformats.org/drawingml/2006/picture">
                <pic:pic>
                  <pic:nvPicPr>
                    <pic:cNvPr id="0" name="lab_mono.jpg"/>
                    <pic:cNvPicPr/>
                  </pic:nvPicPr>
                  <pic:blipFill>
                    <a:blip r:embed="rId12"/>
                    <a:stretch>
                      <a:fillRect/>
                    </a:stretch>
                  </pic:blipFill>
                  <pic:spPr>
                    <a:xfrm>
                      <a:off x="0" y="0"/>
                      <a:ext cx="3060000" cy="4087698"/>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2. Laboratorio de computación del Edificio Monoblock Central</w:t>
      </w:r>
    </w:p>
    <w:p>
      <w:pPr>
        <w:spacing w:before="0" w:after="200" w:line="240" w:lineRule="auto"/>
        <w:jc w:val="both"/>
      </w:pPr>
      <w:r>
        <w:rPr>
          <w:rFonts w:ascii="Century Gothic" w:hAnsi="Century Gothic" w:cs="Century Gothic" w:eastAsia="Century Gothic"/>
          <w:b w:val="0"/>
          <w:i w:val="0"/>
          <w:sz w:val="20"/>
        </w:rPr>
        <w:t>Con 70 y 36 puestos, los laboratorios atienden simultáneamente a 106 estudiantes, frente a 3.143 estudiantes inscritos en 2025. Bajo el Plan 2027, las asignaturas con componente tecnológico de cada año requerirán turnos de laboratorio en grupos reducidos, por lo que la capacidad de los laboratorios es una de las restricciones principales de la implementación, tratada en el punto 11.1.</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10.5</w:t>
        <w:tab/>
      </w:r>
      <w:r>
        <w:rPr>
          <w:rFonts w:ascii="Century Gothic" w:hAnsi="Century Gothic" w:cs="Century Gothic" w:eastAsia="Century Gothic"/>
          <w:b/>
          <w:i w:val="0"/>
          <w:sz w:val="24"/>
        </w:rPr>
        <w:t>Material audiovisual</w:t>
      </w:r>
    </w:p>
    <w:p>
      <w:pPr>
        <w:spacing w:before="0" w:after="200" w:line="240" w:lineRule="auto"/>
        <w:jc w:val="both"/>
      </w:pPr>
      <w:r>
        <w:rPr>
          <w:rFonts w:ascii="Century Gothic" w:hAnsi="Century Gothic" w:cs="Century Gothic" w:eastAsia="Century Gothic"/>
          <w:b w:val="0"/>
          <w:i w:val="0"/>
          <w:sz w:val="20"/>
        </w:rPr>
        <w:t>El material audiovisual de los laboratorios apoya la presentación de contenidos teóricos y prácticos, el desarrollo de clases interactivas y la demostración de procedimientos de contabilidad, auditoría, tributación y finanzas:</w:t>
      </w:r>
    </w:p>
    <w:p>
      <w:pPr>
        <w:keepNext/>
        <w:spacing w:before="40" w:after="80" w:line="240" w:lineRule="auto"/>
        <w:jc w:val="center"/>
      </w:pPr>
      <w:r>
        <w:rPr>
          <w:rFonts w:ascii="Century Gothic" w:hAnsi="Century Gothic" w:cs="Century Gothic" w:eastAsia="Century Gothic"/>
          <w:b/>
          <w:i w:val="0"/>
          <w:sz w:val="20"/>
        </w:rPr>
        <w:t>Cuadro 5. Material audiovisual de los laboratorios</w:t>
      </w:r>
    </w:p>
    <w:tbl>
      <w:tblPr>
        <w:tblW w:type="auto" w:w="0"/>
        <w:jc w:val="center"/>
        <w:tblLayout w:type="fixed"/>
        <w:tblLook w:firstColumn="1" w:firstRow="1" w:lastColumn="0" w:lastRow="0" w:noHBand="0" w:noVBand="1" w:val="04A0"/>
      </w:tblPr>
      <w:tblGrid>
        <w:gridCol w:w="4535"/>
        <w:gridCol w:w="4535"/>
      </w:tblGrid>
      <w:tr>
        <w:trPr>
          <w:tblHeader/>
        </w:trPr>
        <w:tc>
          <w:tcPr>
            <w:tcW w:type="dxa" w:w="45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Laboratorio del Edificio Nava Morales</w:t>
            </w:r>
          </w:p>
        </w:tc>
        <w:tc>
          <w:tcPr>
            <w:tcW w:type="dxa" w:w="45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Laboratorio del Edificio Monoblock Central</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 proyector multimedia empotrado</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 proyector multimedia para préstamo y uso del laboratorio</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 ecrán</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 televisor de plasma mediano</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Una pizarra grande</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Una pizarra mediana y una pizarra pequeña en mal estado</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Dos parlantes pequeños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bl>
    <w:p>
      <w:pPr>
        <w:spacing w:before="40" w:after="200" w:line="240" w:lineRule="auto"/>
        <w:jc w:val="left"/>
      </w:pPr>
      <w:r>
        <w:rPr>
          <w:rFonts w:ascii="Century Gothic" w:hAnsi="Century Gothic" w:cs="Century Gothic" w:eastAsia="Century Gothic"/>
          <w:b w:val="0"/>
          <w:i w:val="0"/>
          <w:sz w:val="16"/>
        </w:rPr>
        <w:t>Fuente: Centro de Cómputo de la Carrera de Contaduría Pública.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10.6</w:t>
        <w:tab/>
      </w:r>
      <w:r>
        <w:rPr>
          <w:rFonts w:ascii="Century Gothic" w:hAnsi="Century Gothic" w:cs="Century Gothic" w:eastAsia="Century Gothic"/>
          <w:b/>
          <w:i w:val="0"/>
          <w:sz w:val="24"/>
        </w:rPr>
        <w:t>Medios didácticos informáticos</w:t>
      </w:r>
    </w:p>
    <w:p>
      <w:pPr>
        <w:spacing w:before="0" w:after="200" w:line="240" w:lineRule="auto"/>
        <w:jc w:val="both"/>
      </w:pPr>
      <w:r>
        <w:rPr>
          <w:rFonts w:ascii="Century Gothic" w:hAnsi="Century Gothic" w:cs="Century Gothic" w:eastAsia="Century Gothic"/>
          <w:b w:val="0"/>
          <w:i w:val="0"/>
          <w:sz w:val="20"/>
        </w:rPr>
        <w:t>Los medios didácticos informáticos permiten la interacción entre estudiantes, docentes y contenidos académicos mediante plataformas virtuales, redes de comunicación, repositorios digitales y herramientas colaborativas. Ambos laboratorios disponen de:</w:t>
      </w:r>
    </w:p>
    <w:p>
      <w:pPr>
        <w:numPr>
          <w:ilvl w:val="0"/>
          <w:numId w:val="902"/>
        </w:numPr>
        <w:spacing w:before="0" w:after="160" w:line="240" w:lineRule="auto"/>
        <w:jc w:val="both"/>
      </w:pPr>
      <w:r>
        <w:rPr>
          <w:rFonts w:ascii="Century Gothic" w:hAnsi="Century Gothic" w:cs="Century Gothic" w:eastAsia="Century Gothic"/>
          <w:b w:val="0"/>
          <w:i w:val="0"/>
          <w:sz w:val="20"/>
        </w:rPr>
        <w:t>Estaciones de trabajo conectadas en red con acceso a internet institucional.</w:t>
      </w:r>
    </w:p>
    <w:p>
      <w:pPr>
        <w:numPr>
          <w:ilvl w:val="0"/>
          <w:numId w:val="902"/>
        </w:numPr>
        <w:spacing w:before="0" w:after="160" w:line="240" w:lineRule="auto"/>
        <w:jc w:val="both"/>
      </w:pPr>
      <w:r>
        <w:rPr>
          <w:rFonts w:ascii="Century Gothic" w:hAnsi="Century Gothic" w:cs="Century Gothic" w:eastAsia="Century Gothic"/>
          <w:b w:val="0"/>
          <w:i w:val="0"/>
          <w:sz w:val="20"/>
        </w:rPr>
        <w:t>Acceso a la red inalámbrica para universitarios.</w:t>
      </w:r>
    </w:p>
    <w:p>
      <w:pPr>
        <w:numPr>
          <w:ilvl w:val="0"/>
          <w:numId w:val="902"/>
        </w:numPr>
        <w:spacing w:before="0" w:after="160" w:line="240" w:lineRule="auto"/>
        <w:jc w:val="both"/>
      </w:pPr>
      <w:r>
        <w:rPr>
          <w:rFonts w:ascii="Century Gothic" w:hAnsi="Century Gothic" w:cs="Century Gothic" w:eastAsia="Century Gothic"/>
          <w:b w:val="0"/>
          <w:i w:val="0"/>
          <w:sz w:val="20"/>
        </w:rPr>
        <w:t>Plataforma virtual de aprendizaje Moodle y Microsoft Teams.</w:t>
      </w:r>
    </w:p>
    <w:p>
      <w:pPr>
        <w:numPr>
          <w:ilvl w:val="0"/>
          <w:numId w:val="902"/>
        </w:numPr>
        <w:spacing w:before="0" w:after="160" w:line="240" w:lineRule="auto"/>
        <w:jc w:val="both"/>
      </w:pPr>
      <w:r>
        <w:rPr>
          <w:rFonts w:ascii="Century Gothic" w:hAnsi="Century Gothic" w:cs="Century Gothic" w:eastAsia="Century Gothic"/>
          <w:b w:val="0"/>
          <w:i w:val="0"/>
          <w:sz w:val="20"/>
        </w:rPr>
        <w:t>Correo institucional.</w:t>
      </w:r>
    </w:p>
    <w:p>
      <w:pPr>
        <w:numPr>
          <w:ilvl w:val="0"/>
          <w:numId w:val="902"/>
        </w:numPr>
        <w:spacing w:before="0" w:after="200" w:line="240" w:lineRule="auto"/>
        <w:jc w:val="both"/>
      </w:pPr>
      <w:r>
        <w:rPr>
          <w:rFonts w:ascii="Century Gothic" w:hAnsi="Century Gothic" w:cs="Century Gothic" w:eastAsia="Century Gothic"/>
          <w:b w:val="0"/>
          <w:i w:val="0"/>
          <w:sz w:val="20"/>
        </w:rPr>
        <w:t>Recursos bibliográficos digitales del repositorio institucional y de los sistemas de información descritos en el punto 9.3.</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10.7</w:t>
        <w:tab/>
      </w:r>
      <w:r>
        <w:rPr>
          <w:rFonts w:ascii="Century Gothic" w:hAnsi="Century Gothic" w:cs="Century Gothic" w:eastAsia="Century Gothic"/>
          <w:b/>
          <w:i w:val="0"/>
          <w:sz w:val="24"/>
        </w:rPr>
        <w:t>Soportes físicos</w:t>
      </w:r>
    </w:p>
    <w:p>
      <w:pPr>
        <w:spacing w:before="0" w:after="200" w:line="240" w:lineRule="auto"/>
        <w:jc w:val="both"/>
      </w:pPr>
      <w:r>
        <w:rPr>
          <w:rFonts w:ascii="Century Gothic" w:hAnsi="Century Gothic" w:cs="Century Gothic" w:eastAsia="Century Gothic"/>
          <w:b w:val="0"/>
          <w:i w:val="0"/>
          <w:sz w:val="20"/>
        </w:rPr>
        <w:t>Los soportes físicos comprenden los elementos materiales que hacen posible el funcionamiento de los laboratorios:</w:t>
      </w:r>
    </w:p>
    <w:p>
      <w:pPr>
        <w:keepNext/>
        <w:spacing w:before="40" w:after="80" w:line="240" w:lineRule="auto"/>
        <w:jc w:val="center"/>
      </w:pPr>
      <w:r>
        <w:rPr>
          <w:rFonts w:ascii="Century Gothic" w:hAnsi="Century Gothic" w:cs="Century Gothic" w:eastAsia="Century Gothic"/>
          <w:b/>
          <w:i w:val="0"/>
          <w:sz w:val="20"/>
        </w:rPr>
        <w:t>Cuadro 6. Soportes físicos de los laboratorios de computación</w:t>
      </w:r>
    </w:p>
    <w:tbl>
      <w:tblPr>
        <w:tblW w:type="auto" w:w="0"/>
        <w:jc w:val="center"/>
        <w:tblLayout w:type="fixed"/>
        <w:tblLook w:firstColumn="1" w:firstRow="1" w:lastColumn="0" w:lastRow="0" w:noHBand="0" w:noVBand="1" w:val="04A0"/>
      </w:tblPr>
      <w:tblGrid>
        <w:gridCol w:w="1644"/>
        <w:gridCol w:w="964"/>
        <w:gridCol w:w="964"/>
        <w:gridCol w:w="1020"/>
        <w:gridCol w:w="737"/>
        <w:gridCol w:w="1191"/>
        <w:gridCol w:w="1361"/>
        <w:gridCol w:w="1191"/>
      </w:tblGrid>
      <w:tr>
        <w:trPr>
          <w:tblHeader/>
        </w:trPr>
        <w:tc>
          <w:tcPr>
            <w:tcW w:type="dxa" w:w="164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Laboratorio</w:t>
            </w:r>
          </w:p>
        </w:tc>
        <w:tc>
          <w:tcPr>
            <w:tcW w:type="dxa" w:w="96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Pizarras</w:t>
            </w:r>
          </w:p>
        </w:tc>
        <w:tc>
          <w:tcPr>
            <w:tcW w:type="dxa" w:w="96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Equipos</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Muebles</w:t>
            </w:r>
          </w:p>
        </w:tc>
        <w:tc>
          <w:tcPr>
            <w:tcW w:type="dxa" w:w="7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Sillas</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Extractores</w:t>
            </w:r>
          </w:p>
        </w:tc>
        <w:tc>
          <w:tcPr>
            <w:tcW w:type="dxa" w:w="13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Ventiladores</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Cámaras</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Nava Morales</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70</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70</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Monoblock Central</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r>
    </w:tbl>
    <w:p>
      <w:pPr>
        <w:spacing w:before="40" w:after="200" w:line="240" w:lineRule="auto"/>
        <w:jc w:val="left"/>
      </w:pPr>
      <w:r>
        <w:rPr>
          <w:rFonts w:ascii="Century Gothic" w:hAnsi="Century Gothic" w:cs="Century Gothic" w:eastAsia="Century Gothic"/>
          <w:b w:val="0"/>
          <w:i w:val="0"/>
          <w:sz w:val="16"/>
        </w:rPr>
        <w:t>Equipos: equipos de computación. Muebles: muebles para computadora. Extractores: extractores de aire. Cámaras: cámaras de seguridad. Fuente: inventario del Centro de Cómputo de la Carrera de Contaduría Pública.</w:t>
      </w:r>
    </w:p>
    <w:p>
      <w:pPr>
        <w:spacing w:before="0" w:after="200" w:line="240" w:lineRule="auto"/>
        <w:jc w:val="both"/>
      </w:pPr>
      <w:r>
        <w:rPr>
          <w:rFonts w:ascii="Century Gothic" w:hAnsi="Century Gothic" w:cs="Century Gothic" w:eastAsia="Century Gothic"/>
          <w:b w:val="0"/>
          <w:i w:val="0"/>
          <w:sz w:val="20"/>
        </w:rPr>
        <w:t>El inventario de soportes registra en el laboratorio del Monoblock Central 20 puestos completos de trabajo, por debajo de su capacidad de 36 estudiantes, y ningún ventilador. El relevamiento de mobiliario y equipamiento de octubre de 2026, presentado en el punto 15, muestra una situación más grave: de las 27 computadoras de este laboratorio, 24 están en mal estado, y de sus seis computadoras portátiles para préstamo, dos ya no se usan. Por ello, la reposición de los equipos de este laboratorio y la mejora de su ventilación son prioritarias. La percepción estudiantil recogida en el diagnóstico señala además que los equipos de ambos laboratorios presentan obsolescencia y un rendimiento insuficiente para el análisis de datos.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10.8</w:t>
        <w:tab/>
      </w:r>
      <w:r>
        <w:rPr>
          <w:rFonts w:ascii="Century Gothic" w:hAnsi="Century Gothic" w:cs="Century Gothic" w:eastAsia="Century Gothic"/>
          <w:b/>
          <w:i w:val="0"/>
          <w:sz w:val="24"/>
        </w:rPr>
        <w:t>Programas informáticos educativos</w:t>
      </w:r>
    </w:p>
    <w:p>
      <w:pPr>
        <w:spacing w:before="0" w:after="200" w:line="240" w:lineRule="auto"/>
        <w:jc w:val="both"/>
      </w:pPr>
      <w:r>
        <w:rPr>
          <w:rFonts w:ascii="Century Gothic" w:hAnsi="Century Gothic" w:cs="Century Gothic" w:eastAsia="Century Gothic"/>
          <w:b w:val="0"/>
          <w:i w:val="0"/>
          <w:sz w:val="20"/>
        </w:rPr>
        <w:t>Los programas informáticos educativos se utilizan con fines formativos para desarrollar conocimientos, habilidades y competencias profesionales:</w:t>
      </w:r>
    </w:p>
    <w:p>
      <w:pPr>
        <w:keepNext/>
        <w:spacing w:before="40" w:after="80" w:line="240" w:lineRule="auto"/>
        <w:jc w:val="center"/>
      </w:pPr>
      <w:r>
        <w:rPr>
          <w:rFonts w:ascii="Century Gothic" w:hAnsi="Century Gothic" w:cs="Century Gothic" w:eastAsia="Century Gothic"/>
          <w:b/>
          <w:i w:val="0"/>
          <w:sz w:val="20"/>
        </w:rPr>
        <w:t>Cuadro 7. Programas informáticos instalados por laboratorio</w:t>
      </w:r>
    </w:p>
    <w:tbl>
      <w:tblPr>
        <w:tblW w:type="auto" w:w="0"/>
        <w:jc w:val="center"/>
        <w:tblLayout w:type="fixed"/>
        <w:tblLook w:firstColumn="1" w:firstRow="1" w:lastColumn="0" w:lastRow="0" w:noHBand="0" w:noVBand="1" w:val="04A0"/>
      </w:tblPr>
      <w:tblGrid>
        <w:gridCol w:w="5102"/>
        <w:gridCol w:w="1984"/>
        <w:gridCol w:w="1984"/>
      </w:tblGrid>
      <w:tr>
        <w:trPr>
          <w:tblHeader/>
        </w:trPr>
        <w:tc>
          <w:tcPr>
            <w:tcW w:type="dxa" w:w="51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Programa</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Nava Morales</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Monoblock Central</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Microsoft Office LTSC Profesional Plus 2024</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Microsoft Office</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Adobe Reader</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WinRAR</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Google Chrome y Firefox</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Bizagi Modeler</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draw.io</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Enterprise Architect</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Python 3.11, entorno IDLE</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MySQL Workbench 8.0 CE</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StarUML</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PSeInt</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Visual Studio Code</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Módulos de activos fijos, contabilidad, inventarios y planillas de sueldos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Software contable académico</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SIAT-Desktop</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IBM SPSS Statistics 22</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 4.3.2</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Zotero</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Sí</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w:t>
            </w:r>
          </w:p>
        </w:tc>
      </w:tr>
    </w:tbl>
    <w:p>
      <w:pPr>
        <w:spacing w:before="40" w:after="200" w:line="240" w:lineRule="auto"/>
        <w:jc w:val="left"/>
      </w:pPr>
      <w:r>
        <w:rPr>
          <w:rFonts w:ascii="Century Gothic" w:hAnsi="Century Gothic" w:cs="Century Gothic" w:eastAsia="Century Gothic"/>
          <w:b w:val="0"/>
          <w:i w:val="0"/>
          <w:sz w:val="16"/>
        </w:rPr>
        <w:t>Fuente: Centro de Cómputo de la Carrera de Contaduría Pública.</w:t>
      </w:r>
    </w:p>
    <w:p>
      <w:pPr>
        <w:spacing w:before="0" w:after="200" w:line="240" w:lineRule="auto"/>
        <w:jc w:val="both"/>
      </w:pPr>
      <w:r>
        <w:rPr>
          <w:rFonts w:ascii="Century Gothic" w:hAnsi="Century Gothic" w:cs="Century Gothic" w:eastAsia="Century Gothic"/>
          <w:b w:val="0"/>
          <w:i w:val="0"/>
          <w:sz w:val="20"/>
        </w:rPr>
        <w:t>El laboratorio del Monoblock Central, que atiende a los estudiantes de tercer año en adelante, tiene menos programas instalados que el del Edificio Nava Morales, a pesar de que en esos años se desarrollan las asignaturas de sistemas, auditoría digital e investigación aplicada. La homologación del software entre ambos laboratorios es una medida de corto plazo del punto 11.1.</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10.9</w:t>
        <w:tab/>
      </w:r>
      <w:r>
        <w:rPr>
          <w:rFonts w:ascii="Century Gothic" w:hAnsi="Century Gothic" w:cs="Century Gothic" w:eastAsia="Century Gothic"/>
          <w:b/>
          <w:i w:val="0"/>
          <w:sz w:val="24"/>
        </w:rPr>
        <w:t>Medios interactivos</w:t>
      </w:r>
    </w:p>
    <w:p>
      <w:pPr>
        <w:spacing w:before="0" w:after="200" w:line="240" w:lineRule="auto"/>
        <w:jc w:val="both"/>
      </w:pPr>
      <w:r>
        <w:rPr>
          <w:rFonts w:ascii="Century Gothic" w:hAnsi="Century Gothic" w:cs="Century Gothic" w:eastAsia="Century Gothic"/>
          <w:b w:val="0"/>
          <w:i w:val="0"/>
          <w:sz w:val="20"/>
        </w:rPr>
        <w:t>Los medios interactivos disponibles son el software contable académico, Microsoft Excel y Power BI, que permiten a los estudiantes registrar operaciones, construir modelos financieros y elaborar tableros de análisis de información, junto con los foros, cuestionarios y tareas de la plataforma Moodle y las reuniones y equipos de trabajo de Microsoft Teams. Para el Plan 2027 se prevé incorporar simuladores de negocios, casos de auditoría con datos reales anonimizados y cuestionarios de autoevaluación en línea en cada asignatura, en concordancia con las estrategias de aprendizaje del punto 4.6.</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10.10</w:t>
        <w:tab/>
      </w:r>
      <w:r>
        <w:rPr>
          <w:rFonts w:ascii="Century Gothic" w:hAnsi="Century Gothic" w:cs="Century Gothic" w:eastAsia="Century Gothic"/>
          <w:b/>
          <w:i w:val="0"/>
          <w:sz w:val="24"/>
        </w:rPr>
        <w:t>Multimedia e internet</w:t>
      </w:r>
    </w:p>
    <w:p>
      <w:pPr>
        <w:spacing w:before="0" w:after="200" w:line="240" w:lineRule="auto"/>
        <w:jc w:val="both"/>
      </w:pPr>
      <w:r>
        <w:rPr>
          <w:rFonts w:ascii="Century Gothic" w:hAnsi="Century Gothic" w:cs="Century Gothic" w:eastAsia="Century Gothic"/>
          <w:b w:val="0"/>
          <w:i w:val="0"/>
          <w:sz w:val="20"/>
        </w:rPr>
        <w:t>La Carrera dispone de servicio de internet en sus dos predios, con 385 Mbps en el Edificio Nava Morales y 165 Mbps en el Monoblock Central, y de un sitio web institucional, contaduriapublica.umsa.bo, que publica la información de la Carrera, el cronograma académico, la información de docentes y de Kárdex, las modalidades de graduación, el PETAENG, los planes de estudio y el acceso a la biblioteca.</w:t>
      </w:r>
    </w:p>
    <w:p>
      <w:pPr>
        <w:spacing w:before="40" w:after="80" w:line="240" w:lineRule="auto"/>
        <w:jc w:val="center"/>
      </w:pPr>
      <w:r>
        <w:drawing>
          <wp:inline xmlns:a="http://schemas.openxmlformats.org/drawingml/2006/main" xmlns:pic="http://schemas.openxmlformats.org/drawingml/2006/picture">
            <wp:extent cx="5040000" cy="2286772"/>
            <wp:docPr id="3" name="Picture 3"/>
            <wp:cNvGraphicFramePr>
              <a:graphicFrameLocks noChangeAspect="1"/>
            </wp:cNvGraphicFramePr>
            <a:graphic>
              <a:graphicData uri="http://schemas.openxmlformats.org/drawingml/2006/picture">
                <pic:pic>
                  <pic:nvPicPr>
                    <pic:cNvPr id="0" name="web.jpg"/>
                    <pic:cNvPicPr/>
                  </pic:nvPicPr>
                  <pic:blipFill>
                    <a:blip r:embed="rId13"/>
                    <a:stretch>
                      <a:fillRect/>
                    </a:stretch>
                  </pic:blipFill>
                  <pic:spPr>
                    <a:xfrm>
                      <a:off x="0" y="0"/>
                      <a:ext cx="5040000" cy="2286772"/>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3. Sitio web de la Carrera de Contaduría Pública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10.11</w:t>
        <w:tab/>
      </w:r>
      <w:r>
        <w:rPr>
          <w:rFonts w:ascii="Century Gothic" w:hAnsi="Century Gothic" w:cs="Century Gothic" w:eastAsia="Century Gothic"/>
          <w:b/>
          <w:i w:val="0"/>
          <w:sz w:val="24"/>
        </w:rPr>
        <w:t>Servicios telemáticos</w:t>
      </w:r>
    </w:p>
    <w:p>
      <w:pPr>
        <w:spacing w:before="0" w:after="200" w:line="240" w:lineRule="auto"/>
        <w:jc w:val="both"/>
      </w:pPr>
      <w:r>
        <w:rPr>
          <w:rFonts w:ascii="Century Gothic" w:hAnsi="Century Gothic" w:cs="Century Gothic" w:eastAsia="Century Gothic"/>
          <w:b w:val="0"/>
          <w:i w:val="0"/>
          <w:sz w:val="20"/>
        </w:rPr>
        <w:t>Además del correo institucional, la plataforma virtual y el Sistema de Seguimiento Académico, la Carrera difunde información oficial por las siguientes redes sociales:</w:t>
      </w:r>
    </w:p>
    <w:p>
      <w:pPr>
        <w:keepNext/>
        <w:spacing w:before="40" w:after="80" w:line="240" w:lineRule="auto"/>
        <w:jc w:val="center"/>
      </w:pPr>
      <w:r>
        <w:rPr>
          <w:rFonts w:ascii="Century Gothic" w:hAnsi="Century Gothic" w:cs="Century Gothic" w:eastAsia="Century Gothic"/>
          <w:b/>
          <w:i w:val="0"/>
          <w:sz w:val="20"/>
        </w:rPr>
        <w:t>Cuadro 8. Redes sociales oficiales de la Carrera</w:t>
      </w:r>
    </w:p>
    <w:tbl>
      <w:tblPr>
        <w:tblW w:type="auto" w:w="0"/>
        <w:jc w:val="center"/>
        <w:tblLayout w:type="fixed"/>
        <w:tblLook w:firstColumn="1" w:firstRow="1" w:lastColumn="0" w:lastRow="0" w:noHBand="0" w:noVBand="1" w:val="04A0"/>
      </w:tblPr>
      <w:tblGrid>
        <w:gridCol w:w="2381"/>
        <w:gridCol w:w="2041"/>
        <w:gridCol w:w="4649"/>
      </w:tblGrid>
      <w:tr>
        <w:trPr>
          <w:tblHeader/>
        </w:trPr>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Red social</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Alcance</w:t>
            </w:r>
          </w:p>
        </w:tc>
        <w:tc>
          <w:tcPr>
            <w:tcW w:type="dxa" w:w="464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Uso</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Página de Facebook</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30 mil seguidores</w:t>
            </w:r>
          </w:p>
        </w:tc>
        <w:tc>
          <w:tcPr>
            <w:tcW w:type="dxa" w:w="4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Transmisiones en vivo, comunicados y convocatorias</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Grupo de Facebook</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13,8 mil miembros</w:t>
            </w:r>
          </w:p>
        </w:tc>
        <w:tc>
          <w:tcPr>
            <w:tcW w:type="dxa" w:w="4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Difusión de información a la comunidad de la Carrera</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Canal de YouTube</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761 suscriptores</w:t>
            </w:r>
          </w:p>
        </w:tc>
        <w:tc>
          <w:tcPr>
            <w:tcW w:type="dxa" w:w="4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Tutoriales y videos institucionales</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Cuenta de TikTok</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323 seguidores</w:t>
            </w:r>
          </w:p>
        </w:tc>
        <w:tc>
          <w:tcPr>
            <w:tcW w:type="dxa" w:w="4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Comunicados y videos de la Carrera</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Canal de WhatsApp</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301 seguidores</w:t>
            </w:r>
          </w:p>
        </w:tc>
        <w:tc>
          <w:tcPr>
            <w:tcW w:type="dxa" w:w="46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Comunicados, convocatorias de pasantías y avisos académicos</w:t>
            </w:r>
          </w:p>
        </w:tc>
      </w:tr>
    </w:tbl>
    <w:p>
      <w:pPr>
        <w:spacing w:before="40" w:after="200" w:line="240" w:lineRule="auto"/>
        <w:jc w:val="left"/>
      </w:pPr>
      <w:r>
        <w:rPr>
          <w:rFonts w:ascii="Century Gothic" w:hAnsi="Century Gothic" w:cs="Century Gothic" w:eastAsia="Century Gothic"/>
          <w:b w:val="0"/>
          <w:i w:val="0"/>
          <w:sz w:val="16"/>
        </w:rPr>
        <w:t>Fuente: Centro de Cómputo de la Carrera de Contaduría Pública, cifras de las cuentas oficiales a octubre de 2026.</w:t>
      </w:r>
    </w:p>
    <w:p>
      <w:pPr>
        <w:spacing w:before="40" w:after="80" w:line="240" w:lineRule="auto"/>
        <w:jc w:val="center"/>
      </w:pPr>
      <w:r>
        <w:drawing>
          <wp:inline xmlns:a="http://schemas.openxmlformats.org/drawingml/2006/main" xmlns:pic="http://schemas.openxmlformats.org/drawingml/2006/picture">
            <wp:extent cx="5040000" cy="2119950"/>
            <wp:docPr id="4" name="Picture 4"/>
            <wp:cNvGraphicFramePr>
              <a:graphicFrameLocks noChangeAspect="1"/>
            </wp:cNvGraphicFramePr>
            <a:graphic>
              <a:graphicData uri="http://schemas.openxmlformats.org/drawingml/2006/picture">
                <pic:pic>
                  <pic:nvPicPr>
                    <pic:cNvPr id="0" name="fb_pagina.jpg"/>
                    <pic:cNvPicPr/>
                  </pic:nvPicPr>
                  <pic:blipFill>
                    <a:blip r:embed="rId14"/>
                    <a:stretch>
                      <a:fillRect/>
                    </a:stretch>
                  </pic:blipFill>
                  <pic:spPr>
                    <a:xfrm>
                      <a:off x="0" y="0"/>
                      <a:ext cx="5040000" cy="2119950"/>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4. Página oficial de Facebook</w:t>
      </w:r>
    </w:p>
    <w:p>
      <w:pPr>
        <w:spacing w:before="40" w:after="80" w:line="240" w:lineRule="auto"/>
        <w:jc w:val="center"/>
      </w:pPr>
      <w:r>
        <w:drawing>
          <wp:inline xmlns:a="http://schemas.openxmlformats.org/drawingml/2006/main" xmlns:pic="http://schemas.openxmlformats.org/drawingml/2006/picture">
            <wp:extent cx="2700000" cy="1272141"/>
            <wp:docPr id="5" name="Picture 5"/>
            <wp:cNvGraphicFramePr>
              <a:graphicFrameLocks noChangeAspect="1"/>
            </wp:cNvGraphicFramePr>
            <a:graphic>
              <a:graphicData uri="http://schemas.openxmlformats.org/drawingml/2006/picture">
                <pic:pic>
                  <pic:nvPicPr>
                    <pic:cNvPr id="0" name="fb_grupo.jpg"/>
                    <pic:cNvPicPr/>
                  </pic:nvPicPr>
                  <pic:blipFill>
                    <a:blip r:embed="rId15"/>
                    <a:stretch>
                      <a:fillRect/>
                    </a:stretch>
                  </pic:blipFill>
                  <pic:spPr>
                    <a:xfrm>
                      <a:off x="0" y="0"/>
                      <a:ext cx="2700000" cy="1272141"/>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5. Grupo de Facebook de la Carrera</w:t>
      </w:r>
    </w:p>
    <w:p>
      <w:pPr>
        <w:spacing w:before="40" w:after="80" w:line="240" w:lineRule="auto"/>
        <w:jc w:val="center"/>
      </w:pPr>
      <w:r>
        <w:drawing>
          <wp:inline xmlns:a="http://schemas.openxmlformats.org/drawingml/2006/main" xmlns:pic="http://schemas.openxmlformats.org/drawingml/2006/picture">
            <wp:extent cx="4680000" cy="2709060"/>
            <wp:docPr id="6" name="Picture 6"/>
            <wp:cNvGraphicFramePr>
              <a:graphicFrameLocks noChangeAspect="1"/>
            </wp:cNvGraphicFramePr>
            <a:graphic>
              <a:graphicData uri="http://schemas.openxmlformats.org/drawingml/2006/picture">
                <pic:pic>
                  <pic:nvPicPr>
                    <pic:cNvPr id="0" name="youtube.jpg"/>
                    <pic:cNvPicPr/>
                  </pic:nvPicPr>
                  <pic:blipFill>
                    <a:blip r:embed="rId16"/>
                    <a:stretch>
                      <a:fillRect/>
                    </a:stretch>
                  </pic:blipFill>
                  <pic:spPr>
                    <a:xfrm>
                      <a:off x="0" y="0"/>
                      <a:ext cx="4680000" cy="2709060"/>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6. Canal oficial de YouTube</w:t>
      </w:r>
    </w:p>
    <w:p>
      <w:pPr>
        <w:spacing w:before="40" w:after="80" w:line="240" w:lineRule="auto"/>
        <w:jc w:val="center"/>
      </w:pPr>
      <w:r>
        <w:drawing>
          <wp:inline xmlns:a="http://schemas.openxmlformats.org/drawingml/2006/main" xmlns:pic="http://schemas.openxmlformats.org/drawingml/2006/picture">
            <wp:extent cx="3600000" cy="2190000"/>
            <wp:docPr id="7" name="Picture 7"/>
            <wp:cNvGraphicFramePr>
              <a:graphicFrameLocks noChangeAspect="1"/>
            </wp:cNvGraphicFramePr>
            <a:graphic>
              <a:graphicData uri="http://schemas.openxmlformats.org/drawingml/2006/picture">
                <pic:pic>
                  <pic:nvPicPr>
                    <pic:cNvPr id="0" name="tiktok.jpg"/>
                    <pic:cNvPicPr/>
                  </pic:nvPicPr>
                  <pic:blipFill>
                    <a:blip r:embed="rId17"/>
                    <a:stretch>
                      <a:fillRect/>
                    </a:stretch>
                  </pic:blipFill>
                  <pic:spPr>
                    <a:xfrm>
                      <a:off x="0" y="0"/>
                      <a:ext cx="3600000" cy="2190000"/>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7. Cuenta oficial de TikTok</w:t>
      </w:r>
    </w:p>
    <w:p>
      <w:pPr>
        <w:spacing w:before="40" w:after="80" w:line="240" w:lineRule="auto"/>
        <w:jc w:val="center"/>
      </w:pPr>
      <w:r>
        <w:drawing>
          <wp:inline xmlns:a="http://schemas.openxmlformats.org/drawingml/2006/main" xmlns:pic="http://schemas.openxmlformats.org/drawingml/2006/picture">
            <wp:extent cx="3960000" cy="2576966"/>
            <wp:docPr id="8" name="Picture 8"/>
            <wp:cNvGraphicFramePr>
              <a:graphicFrameLocks noChangeAspect="1"/>
            </wp:cNvGraphicFramePr>
            <a:graphic>
              <a:graphicData uri="http://schemas.openxmlformats.org/drawingml/2006/picture">
                <pic:pic>
                  <pic:nvPicPr>
                    <pic:cNvPr id="0" name="wa1.jpg"/>
                    <pic:cNvPicPr/>
                  </pic:nvPicPr>
                  <pic:blipFill>
                    <a:blip r:embed="rId18"/>
                    <a:stretch>
                      <a:fillRect/>
                    </a:stretch>
                  </pic:blipFill>
                  <pic:spPr>
                    <a:xfrm>
                      <a:off x="0" y="0"/>
                      <a:ext cx="3960000" cy="2576966"/>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8. Canal de WhatsApp con un comunicado de pasantía</w:t>
      </w:r>
    </w:p>
    <w:p>
      <w:pPr>
        <w:spacing w:before="40" w:after="80" w:line="240" w:lineRule="auto"/>
        <w:jc w:val="center"/>
      </w:pPr>
      <w:r>
        <w:drawing>
          <wp:inline xmlns:a="http://schemas.openxmlformats.org/drawingml/2006/main" xmlns:pic="http://schemas.openxmlformats.org/drawingml/2006/picture">
            <wp:extent cx="2880000" cy="2502564"/>
            <wp:docPr id="9" name="Picture 9"/>
            <wp:cNvGraphicFramePr>
              <a:graphicFrameLocks noChangeAspect="1"/>
            </wp:cNvGraphicFramePr>
            <a:graphic>
              <a:graphicData uri="http://schemas.openxmlformats.org/drawingml/2006/picture">
                <pic:pic>
                  <pic:nvPicPr>
                    <pic:cNvPr id="0" name="wa2.jpg"/>
                    <pic:cNvPicPr/>
                  </pic:nvPicPr>
                  <pic:blipFill>
                    <a:blip r:embed="rId19"/>
                    <a:stretch>
                      <a:fillRect/>
                    </a:stretch>
                  </pic:blipFill>
                  <pic:spPr>
                    <a:xfrm>
                      <a:off x="0" y="0"/>
                      <a:ext cx="2880000" cy="2502564"/>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9. Canal oficial de WhatsApp</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10.12</w:t>
        <w:tab/>
      </w:r>
      <w:r>
        <w:rPr>
          <w:rFonts w:ascii="Century Gothic" w:hAnsi="Century Gothic" w:cs="Century Gothic" w:eastAsia="Century Gothic"/>
          <w:b/>
          <w:i w:val="0"/>
          <w:sz w:val="24"/>
        </w:rPr>
        <w:t>Entornos virtuales de enseñanza y aprendizaje</w:t>
      </w:r>
    </w:p>
    <w:p>
      <w:pPr>
        <w:spacing w:before="0" w:after="200" w:line="240" w:lineRule="auto"/>
        <w:jc w:val="both"/>
      </w:pPr>
      <w:r>
        <w:rPr>
          <w:rFonts w:ascii="Century Gothic" w:hAnsi="Century Gothic" w:cs="Century Gothic" w:eastAsia="Century Gothic"/>
          <w:b w:val="0"/>
          <w:i w:val="0"/>
          <w:sz w:val="20"/>
        </w:rPr>
        <w:t>La Carrera cuenta con los siguientes entornos virtuales:</w:t>
      </w:r>
    </w:p>
    <w:p>
      <w:pPr>
        <w:numPr>
          <w:ilvl w:val="0"/>
          <w:numId w:val="903"/>
        </w:numPr>
        <w:spacing w:before="0" w:after="160" w:line="240" w:lineRule="auto"/>
        <w:jc w:val="both"/>
      </w:pPr>
      <w:r>
        <w:rPr>
          <w:rFonts w:ascii="Century Gothic" w:hAnsi="Century Gothic" w:cs="Century Gothic" w:eastAsia="Century Gothic"/>
          <w:b/>
          <w:i w:val="0"/>
          <w:sz w:val="20"/>
        </w:rPr>
        <w:t>Plataforma Virtual de la Carrera de Contaduría Pública.</w:t>
      </w:r>
      <w:r>
        <w:rPr>
          <w:rFonts w:ascii="Century Gothic" w:hAnsi="Century Gothic" w:cs="Century Gothic" w:eastAsia="Century Gothic"/>
          <w:b w:val="0"/>
          <w:i w:val="0"/>
          <w:sz w:val="20"/>
        </w:rPr>
        <w:t xml:space="preserve"> Desarrollada en Moodle y alojada en los servidores de la Carrera, permite a los estudiantes acceder a sus asignaturas, consultar materiales, enviar tareas y participar en actividades y evaluaciones en línea, como complemento de las clases presenciales o en modalidad a distancia. Está optimizada para atender a más de 200 usuarios conectados de forma simultánea.</w:t>
      </w:r>
    </w:p>
    <w:p>
      <w:pPr>
        <w:numPr>
          <w:ilvl w:val="0"/>
          <w:numId w:val="903"/>
        </w:numPr>
        <w:spacing w:before="0" w:after="160" w:line="240" w:lineRule="auto"/>
        <w:jc w:val="both"/>
      </w:pPr>
      <w:r>
        <w:rPr>
          <w:rFonts w:ascii="Century Gothic" w:hAnsi="Century Gothic" w:cs="Century Gothic" w:eastAsia="Century Gothic"/>
          <w:b/>
          <w:i w:val="0"/>
          <w:sz w:val="20"/>
        </w:rPr>
        <w:t>Microsoft Teams.</w:t>
      </w:r>
      <w:r>
        <w:rPr>
          <w:rFonts w:ascii="Century Gothic" w:hAnsi="Century Gothic" w:cs="Century Gothic" w:eastAsia="Century Gothic"/>
          <w:b w:val="0"/>
          <w:i w:val="0"/>
          <w:sz w:val="20"/>
        </w:rPr>
        <w:t xml:space="preserve"> Mediante un acuerdo Microsoft para la Educación, la Carrera utiliza servicios de videoconferencia, cuentas de correo y programas de ofimática en línea.</w:t>
      </w:r>
    </w:p>
    <w:p>
      <w:pPr>
        <w:numPr>
          <w:ilvl w:val="0"/>
          <w:numId w:val="903"/>
        </w:numPr>
        <w:spacing w:before="0" w:after="200" w:line="240" w:lineRule="auto"/>
        <w:jc w:val="both"/>
      </w:pPr>
      <w:r>
        <w:rPr>
          <w:rFonts w:ascii="Century Gothic" w:hAnsi="Century Gothic" w:cs="Century Gothic" w:eastAsia="Century Gothic"/>
          <w:b/>
          <w:i w:val="0"/>
          <w:sz w:val="20"/>
          <w:highlight w:val="green"/>
        </w:rPr>
        <w:t>Campus Virtual UMSA-Coursera.</w:t>
      </w:r>
      <w:r>
        <w:rPr>
          <w:rFonts w:ascii="Century Gothic" w:hAnsi="Century Gothic" w:cs="Century Gothic" w:eastAsia="Century Gothic"/>
          <w:b w:val="0"/>
          <w:i w:val="0"/>
          <w:sz w:val="20"/>
          <w:highlight w:val="green"/>
        </w:rPr>
        <w:t xml:space="preserve"> La Universidad ofrece cursos en línea en esta plataforma, reglamentados por la Resolución HCU N.º 538/2022, que pueden complementar la formación de estudiantes y docentes.</w:t>
      </w:r>
    </w:p>
    <w:p>
      <w:pPr>
        <w:spacing w:before="0" w:after="200" w:line="240" w:lineRule="auto"/>
        <w:jc w:val="both"/>
      </w:pPr>
      <w:r>
        <w:rPr>
          <w:rFonts w:ascii="Century Gothic" w:hAnsi="Century Gothic" w:cs="Century Gothic" w:eastAsia="Century Gothic"/>
          <w:b w:val="0"/>
          <w:i w:val="0"/>
          <w:sz w:val="20"/>
        </w:rPr>
        <w:t>Estas herramientas apoyan la enseñanza y el aprendizaje, pero son limitadas para la escala de la Carrera. La capacidad de la plataforma, de algo más de 200 usuarios simultáneos, es baja frente a 3.143 estudiantes inscritos, y el diagnóstico estudiantil reporta limitaciones en su uso. Dado que en el Plan 2027 cada hora presencial se acompaña de una hora de trabajo autónomo con seguimiento en la plataforma, se requiere ampliar su capacidad, capacitar a los docentes en su uso pedagógico y establecer un aula virtual por asignatura y paralelo, conforme a los puntos 4.6 y 11.</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0"/>
    <w:lvlOverride w:ilvl="0">
      <w:startOverride w:val="1"/>
    </w:lvlOverride>
  </w:num>
  <w:num w:numId="903">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