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Reglamentación</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13.</w:t>
        <w:tab/>
      </w:r>
      <w:r>
        <w:rPr>
          <w:rFonts w:ascii="Century Gothic" w:hAnsi="Century Gothic" w:cs="Century Gothic" w:eastAsia="Century Gothic"/>
          <w:b/>
          <w:i w:val="0"/>
          <w:sz w:val="24"/>
        </w:rPr>
        <w:t>Reglamentación</w:t>
      </w:r>
    </w:p>
    <w:p>
      <w:pPr>
        <w:spacing w:before="0" w:after="200" w:line="240" w:lineRule="auto"/>
        <w:jc w:val="both"/>
      </w:pPr>
      <w:r>
        <w:rPr>
          <w:rFonts w:ascii="Century Gothic" w:hAnsi="Century Gothic" w:cs="Century Gothic" w:eastAsia="Century Gothic"/>
          <w:b w:val="0"/>
          <w:i w:val="0"/>
          <w:sz w:val="20"/>
        </w:rPr>
        <w:t>Este punto identifica la normativa universitaria que rige el Plan de Estudios 2027, establece los reglamentos internos que la Carrera debe mantener, actualizar o elaborar para su implementación, y presenta el Reglamento de Modalidades de Graduación actualizado al nuevo plan y la reglamentación del Instituto de Investigaciones.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13.1</w:t>
        <w:tab/>
      </w:r>
      <w:r>
        <w:rPr>
          <w:rFonts w:ascii="Century Gothic" w:hAnsi="Century Gothic" w:cs="Century Gothic" w:eastAsia="Century Gothic"/>
          <w:b/>
          <w:i w:val="0"/>
          <w:sz w:val="24"/>
        </w:rPr>
        <w:t>Reglamentos académicos y administrativos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13.1.1</w:t>
        <w:tab/>
      </w:r>
      <w:r>
        <w:rPr>
          <w:rFonts w:ascii="Century Gothic" w:hAnsi="Century Gothic" w:cs="Century Gothic" w:eastAsia="Century Gothic"/>
          <w:b/>
          <w:i w:val="0"/>
          <w:sz w:val="22"/>
        </w:rPr>
        <w:t>Normativa universitaria aplicable</w:t>
      </w:r>
    </w:p>
    <w:p>
      <w:pPr>
        <w:keepNext/>
        <w:spacing w:before="40" w:after="80" w:line="240" w:lineRule="auto"/>
        <w:jc w:val="center"/>
      </w:pPr>
      <w:r>
        <w:rPr>
          <w:rFonts w:ascii="Century Gothic" w:hAnsi="Century Gothic" w:cs="Century Gothic" w:eastAsia="Century Gothic"/>
          <w:b/>
          <w:i w:val="0"/>
          <w:sz w:val="20"/>
        </w:rPr>
        <w:t>Cuadro 1. Normativa universitaria aplicable al Plan 2027</w:t>
      </w:r>
    </w:p>
    <w:tbl>
      <w:tblPr>
        <w:tblW w:type="auto" w:w="0"/>
        <w:jc w:val="center"/>
        <w:tblLayout w:type="fixed"/>
        <w:tblLook w:firstColumn="1" w:firstRow="1" w:lastColumn="0" w:lastRow="0" w:noHBand="0" w:noVBand="1" w:val="04A0"/>
      </w:tblPr>
      <w:tblGrid>
        <w:gridCol w:w="3969"/>
        <w:gridCol w:w="5102"/>
      </w:tblGrid>
      <w:tr>
        <w:trPr>
          <w:tblHeader/>
        </w:trPr>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Norma</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Ámbito de aplicación en la Carrera</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Estatuto Orgánico de la UMSA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Principios, gobierno universitario y funciones de docencia, investigación e interacción social</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General de Títulos y Grados del Sistema de la Universidad Boliviana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Grados académicos, títulos en provisión nacional y carga horaria máxima de 6.000 horas académicas</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General de Tipos y Modalidades de Graduación del Sistema de la Universidad Boliviana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Modalidades de graduación y escala de calificación</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General de Estudios de Posgrado del Sistema de la Universidad Boliviana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Diplomados y articulación entre grado y postgrado</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Innovación Curricular de la UMSA, Resolución HCU N.º 032/2025</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Rediseño, ajuste y complementación curricular; estructura del plan de estudios y de los planes de asignatura</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Evaluación y Acreditación Institucional y de Carreras y Programas de la UMSA, 2025</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Autoevaluación, evaluación externa y acreditación</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del Régimen Estudiantil y Reglamento de Traspaso Estudiantil del Sistema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Admisión, permanencia, traspasos y convalidaciones</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Convalidaciones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Reconocimiento de asignaturas aprobadas en otros planes o carreras</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HCU N.º 093/2006</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Cursos de temporada</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HCU N.º 352/2021</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Mesas de examen</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HCU N.º 330/2022</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Trabajo dirigido</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Graduación por Excelencia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Graduación por excelencia académica</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del Régimen Académico Docente y Reglamento de Convocatorias a Docentes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Ingreso, categorías, evaluación y permanencia de los docentes</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Auxiliares Académicos de Pregrado de la UMSA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Selección y funciones de los auxiliares de docencia</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Institutos de Investigación de la UMSA, Reglamento de Directores de Institutos de Investigación y Política de Investigación de la UMSA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Funcionamiento del Instituto de Investigaciones y designación de su Director</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Postgrados de la Facultad de Ciencias Económicas y Financieras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Programas de la Unidad de Postgrado de la Carrera</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green"/>
              </w:rPr>
              <w:t>Resolución HCU N.º 538/2022</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green"/>
              </w:rPr>
              <w:t>Campus Virtual UMSA-Coursera</w:t>
            </w:r>
          </w:p>
        </w:tc>
      </w:tr>
    </w:tbl>
    <w:p>
      <w:pPr>
        <w:spacing w:before="40" w:after="200" w:line="240" w:lineRule="auto"/>
        <w:jc w:val="left"/>
      </w:pPr>
      <w:r>
        <w:rPr>
          <w:rFonts w:ascii="Century Gothic" w:hAnsi="Century Gothic" w:cs="Century Gothic" w:eastAsia="Century Gothic"/>
          <w:b w:val="0"/>
          <w:i w:val="0"/>
          <w:sz w:val="16"/>
        </w:rPr>
        <w:t>Fuente: elaboración con base en la normativa citada en el Plan de Estudios 2024, el Diagnóstico 2026 y los puntos 5 a 12.</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13.1.2</w:t>
        <w:tab/>
      </w:r>
      <w:r>
        <w:rPr>
          <w:rFonts w:ascii="Century Gothic" w:hAnsi="Century Gothic" w:cs="Century Gothic" w:eastAsia="Century Gothic"/>
          <w:b/>
          <w:i w:val="0"/>
          <w:sz w:val="22"/>
        </w:rPr>
        <w:t>Reglamentos internos de la Carrera</w:t>
      </w:r>
    </w:p>
    <w:p>
      <w:pPr>
        <w:spacing w:before="0" w:after="200" w:line="240" w:lineRule="auto"/>
        <w:jc w:val="both"/>
      </w:pPr>
      <w:r>
        <w:rPr>
          <w:rFonts w:ascii="Century Gothic" w:hAnsi="Century Gothic" w:cs="Century Gothic" w:eastAsia="Century Gothic"/>
          <w:b w:val="0"/>
          <w:i w:val="0"/>
          <w:sz w:val="20"/>
        </w:rPr>
        <w:t>La implementación del Plan 2027 requiere actualizar los reglamentos internos vigentes y elaborar los que exigen las innovaciones del plan. Su aprobación corresponde al Honorable Consejo de Carrera y, cuando la normativa lo exige, al Honorable Consejo Facultativo:</w:t>
      </w:r>
    </w:p>
    <w:p>
      <w:pPr>
        <w:keepNext/>
        <w:spacing w:before="40" w:after="80" w:line="240" w:lineRule="auto"/>
        <w:jc w:val="center"/>
      </w:pPr>
      <w:r>
        <w:rPr>
          <w:rFonts w:ascii="Century Gothic" w:hAnsi="Century Gothic" w:cs="Century Gothic" w:eastAsia="Century Gothic"/>
          <w:b/>
          <w:i w:val="0"/>
          <w:sz w:val="20"/>
        </w:rPr>
        <w:t>Cuadro 2. Reglamentos internos para la implementación del Plan 2027</w:t>
      </w:r>
    </w:p>
    <w:tbl>
      <w:tblPr>
        <w:tblW w:type="auto" w:w="0"/>
        <w:jc w:val="center"/>
        <w:tblLayout w:type="fixed"/>
        <w:tblLook w:firstColumn="1" w:firstRow="1" w:lastColumn="0" w:lastRow="0" w:noHBand="0" w:noVBand="1" w:val="04A0"/>
      </w:tblPr>
      <w:tblGrid>
        <w:gridCol w:w="2381"/>
        <w:gridCol w:w="1247"/>
        <w:gridCol w:w="4082"/>
        <w:gridCol w:w="1361"/>
      </w:tblGrid>
      <w:tr>
        <w:trPr>
          <w:tblHeader/>
        </w:trPr>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Reglamento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Situación</w:t>
            </w:r>
          </w:p>
        </w:tc>
        <w:tc>
          <w:tcPr>
            <w:tcW w:type="dxa" w:w="408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Contenido mínimo</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Referencia</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Modalidades de Graduación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Actualizar</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Texto del punto 13.1.4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Punto 5.4</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Normas de cursos de temporada y de mesas de examen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Actualizar</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Asignaturas habilitadas, recuperación con tutoría obligatoria y nómina de asignaturas teóricas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Puntos 4.7.5 y 5.3</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Prácticas Preprofesionales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Elaborar</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Carga horaria mínima, requisitos de habilitación, convenios, tutores, evaluación y reconocimiento de la experiencia laboral</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Punto 4.8</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Interacción Social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Elaborar</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Horas mínimas, actividades válidas, registro de evidencias y acreditación</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Punto 7.1.3</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Tutoría Académica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Elaborar</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Sistema de alerta temprana, tutoría entre pares y funciones de los auxiliares de docencia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Punto 5.3.5</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la Comisión de Evaluación Curricular</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Elaborar</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Composición, funciones, calendario de evaluación y seguimiento a titulados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Punto 12</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interno del Instituto de Investigaciones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Actualizar</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Estructura, funciones, líneas de investigación y participación estudiantil</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Punto 13.2</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uso de laboratorios y de la plataforma virtual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Elaborar</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Turnos, reservas, responsabilidades de los usuarios, aulas virtuales por asignatura y protección de datos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Puntos 10 y 11</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del PETAENG</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Vigente</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Requisitos, módulos de actualización y trabajo académico de titulación</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Punto 5.4</w:t>
            </w:r>
          </w:p>
        </w:tc>
      </w:tr>
    </w:tbl>
    <w:p>
      <w:pPr>
        <w:spacing w:before="40" w:after="200" w:line="240" w:lineRule="auto"/>
        <w:jc w:val="left"/>
      </w:pPr>
      <w:r>
        <w:rPr>
          <w:rFonts w:ascii="Century Gothic" w:hAnsi="Century Gothic" w:cs="Century Gothic" w:eastAsia="Century Gothic"/>
          <w:b w:val="0"/>
          <w:i w:val="0"/>
          <w:sz w:val="16"/>
        </w:rPr>
        <w:t>Fuente: elaboración con base en los puntos 4 a 12.</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13.1.3</w:t>
        <w:tab/>
      </w:r>
      <w:r>
        <w:rPr>
          <w:rFonts w:ascii="Century Gothic" w:hAnsi="Century Gothic" w:cs="Century Gothic" w:eastAsia="Century Gothic"/>
          <w:b/>
          <w:i w:val="0"/>
          <w:sz w:val="22"/>
        </w:rPr>
        <w:t>Cursos de temporada y mesas de examen</w:t>
      </w:r>
    </w:p>
    <w:p>
      <w:pPr>
        <w:spacing w:before="0" w:after="200" w:line="240" w:lineRule="auto"/>
        <w:jc w:val="both"/>
      </w:pPr>
      <w:r>
        <w:rPr>
          <w:rFonts w:ascii="Century Gothic" w:hAnsi="Century Gothic" w:cs="Century Gothic" w:eastAsia="Century Gothic"/>
          <w:b w:val="0"/>
          <w:i w:val="0"/>
          <w:sz w:val="20"/>
        </w:rPr>
        <w:t>Los cursos de temporada se rigen por la Resolución HCU N.º 093/2006, cuyo Artículo 13 otorga a las carreras la tuición de elegir las asignaturas que se dictan, con la obligación de cubrir el 100 % de sus contenidos en teoría y en práctica, y cuyo Artículo 6 fija una duración mínima de 60 días calendario, ocho semanas, en las carreras anualizadas. En el Plan 2027, el estudiante puede nivelar o adelantar hasta dos asignaturas por temporada; se habilitan las asignaturas contextuales y las troncales de hasta 80 horas anuales, y las troncales de mayor carga solo pueden cursarse para recuperar una asignatura reprobada, con tutoría complementaria obligatoria, conforme al punto 5.3.3.</w:t>
      </w:r>
    </w:p>
    <w:p>
      <w:pPr>
        <w:spacing w:before="0" w:after="200" w:line="240" w:lineRule="auto"/>
        <w:jc w:val="both"/>
      </w:pPr>
      <w:r>
        <w:rPr>
          <w:rFonts w:ascii="Century Gothic" w:hAnsi="Century Gothic" w:cs="Century Gothic" w:eastAsia="Century Gothic"/>
          <w:b w:val="0"/>
          <w:i w:val="0"/>
          <w:sz w:val="20"/>
        </w:rPr>
        <w:t>Las mesas de examen se rigen por la Resolución HCU N.º 352/2021, cuyo Artículo 8 las limita a las materias teóricas del plan y encomienda al Consejo de Carrera la publicación de la nómina. El estudiante puede inscribirse en un máximo de dos asignaturas por gestión. Las asignaturas habilitadas son ADM-101, DER-101, DER-102, ADM-201, DER-201, CPA-204, ADM-301 y CPA-406, conforme al punto 4.7.5.</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13.1.4</w:t>
        <w:tab/>
      </w:r>
      <w:r>
        <w:rPr>
          <w:rFonts w:ascii="Century Gothic" w:hAnsi="Century Gothic" w:cs="Century Gothic" w:eastAsia="Century Gothic"/>
          <w:b/>
          <w:i w:val="0"/>
          <w:sz w:val="22"/>
        </w:rPr>
        <w:t>Reglamento de Modalidades de Graduación</w:t>
      </w:r>
    </w:p>
    <w:p>
      <w:pPr>
        <w:keepNext/>
        <w:spacing w:before="0" w:after="120" w:line="240" w:lineRule="auto"/>
        <w:jc w:val="left"/>
      </w:pPr>
      <w:r>
        <w:rPr>
          <w:rFonts w:ascii="Century Gothic" w:hAnsi="Century Gothic" w:cs="Century Gothic" w:eastAsia="Century Gothic"/>
          <w:b/>
          <w:i w:val="0"/>
          <w:sz w:val="20"/>
        </w:rPr>
        <w:t>Capítulo I. Disposiciones generales</w:t>
      </w:r>
    </w:p>
    <w:p>
      <w:pPr>
        <w:spacing w:before="0" w:after="200" w:line="240" w:lineRule="auto"/>
        <w:jc w:val="both"/>
      </w:pPr>
      <w:r>
        <w:rPr>
          <w:rFonts w:ascii="Century Gothic" w:hAnsi="Century Gothic" w:cs="Century Gothic" w:eastAsia="Century Gothic"/>
          <w:b/>
          <w:i w:val="0"/>
          <w:sz w:val="20"/>
        </w:rPr>
        <w:t>Artículo 1. Objeto y alcance.</w:t>
      </w:r>
      <w:r>
        <w:rPr>
          <w:rFonts w:ascii="Century Gothic" w:hAnsi="Century Gothic" w:cs="Century Gothic" w:eastAsia="Century Gothic"/>
          <w:b w:val="0"/>
          <w:i w:val="0"/>
          <w:sz w:val="20"/>
        </w:rPr>
        <w:t xml:space="preserve"> El presente reglamento establece las normas, procedimientos y requisitos para obtener el Diploma Académico de Licenciatura en Contaduría Pública y el Título en Provisión Nacional de Contador Público Autorizado, y regula la actuación de los docentes como tutores y tribunales en las modalidades de graduación de la Carrera de Contaduría Pública.</w:t>
      </w:r>
    </w:p>
    <w:p>
      <w:pPr>
        <w:spacing w:before="0" w:after="200" w:line="240" w:lineRule="auto"/>
        <w:jc w:val="both"/>
      </w:pPr>
      <w:r>
        <w:rPr>
          <w:rFonts w:ascii="Century Gothic" w:hAnsi="Century Gothic" w:cs="Century Gothic" w:eastAsia="Century Gothic"/>
          <w:b/>
          <w:i w:val="0"/>
          <w:sz w:val="20"/>
        </w:rPr>
        <w:t>Artículo 2. Certificado de conclusión de estudios.</w:t>
      </w:r>
      <w:r>
        <w:rPr>
          <w:rFonts w:ascii="Century Gothic" w:hAnsi="Century Gothic" w:cs="Century Gothic" w:eastAsia="Century Gothic"/>
          <w:b w:val="0"/>
          <w:i w:val="0"/>
          <w:sz w:val="20"/>
        </w:rPr>
        <w:t xml:space="preserve"> La Carrera otorga el certificado de conclusión de estudios al estudiante que aprobó las 43 asignaturas del Plan de Estudios 2027, previa verificación de los requisitos. El certificado no acredita grado académico; habilita al postulante para optar por una de las modalidades de graduación. Durante la transición, los estudiantes del Plan 2013 obtienen su certificado conforme a ese plan.</w:t>
      </w:r>
    </w:p>
    <w:p>
      <w:pPr>
        <w:spacing w:before="0" w:after="200" w:line="240" w:lineRule="auto"/>
        <w:jc w:val="both"/>
      </w:pPr>
      <w:r>
        <w:rPr>
          <w:rFonts w:ascii="Century Gothic" w:hAnsi="Century Gothic" w:cs="Century Gothic" w:eastAsia="Century Gothic"/>
          <w:b/>
          <w:i w:val="0"/>
          <w:sz w:val="20"/>
        </w:rPr>
        <w:t>Artículo 3. Grado académico y título.</w:t>
      </w:r>
      <w:r>
        <w:rPr>
          <w:rFonts w:ascii="Century Gothic" w:hAnsi="Century Gothic" w:cs="Century Gothic" w:eastAsia="Century Gothic"/>
          <w:b w:val="0"/>
          <w:i w:val="0"/>
          <w:sz w:val="20"/>
        </w:rPr>
        <w:t xml:space="preserve"> Aprobada la modalidad de graduación y cumplidos los requisitos académicos y administrativos, el postulante tramita el Diploma Académico de Licenciatura en Contaduría Pública y el Título en Provisión Nacional de Contador Público Autorizado, conforme al Artículo 92, parágrafo III, de la Constitución Política del Estado.</w:t>
      </w:r>
    </w:p>
    <w:p>
      <w:pPr>
        <w:spacing w:before="0" w:after="200" w:line="240" w:lineRule="auto"/>
        <w:jc w:val="both"/>
      </w:pPr>
      <w:r>
        <w:rPr>
          <w:rFonts w:ascii="Century Gothic" w:hAnsi="Century Gothic" w:cs="Century Gothic" w:eastAsia="Century Gothic"/>
          <w:b/>
          <w:i w:val="0"/>
          <w:sz w:val="20"/>
        </w:rPr>
        <w:t>Artículo 4. Modalidades de graduación.</w:t>
      </w:r>
      <w:r>
        <w:rPr>
          <w:rFonts w:ascii="Century Gothic" w:hAnsi="Century Gothic" w:cs="Century Gothic" w:eastAsia="Century Gothic"/>
          <w:b w:val="0"/>
          <w:i w:val="0"/>
          <w:sz w:val="20"/>
        </w:rPr>
        <w:t xml:space="preserve"> Las modalidades de graduación de la licenciatura son las siguientes. La Dirección de Carrera autoriza mediante resolución la modalidad elegida por el postulante.</w:t>
      </w:r>
    </w:p>
    <w:p>
      <w:pPr>
        <w:numPr>
          <w:ilvl w:val="0"/>
          <w:numId w:val="901"/>
        </w:numPr>
        <w:spacing w:before="0" w:after="160" w:line="240" w:lineRule="auto"/>
        <w:jc w:val="both"/>
      </w:pPr>
      <w:r>
        <w:rPr>
          <w:rFonts w:ascii="Century Gothic" w:hAnsi="Century Gothic" w:cs="Century Gothic" w:eastAsia="Century Gothic"/>
          <w:b w:val="0"/>
          <w:i w:val="0"/>
          <w:sz w:val="20"/>
        </w:rPr>
        <w:t>Tesis de grado.</w:t>
      </w:r>
    </w:p>
    <w:p>
      <w:pPr>
        <w:numPr>
          <w:ilvl w:val="0"/>
          <w:numId w:val="901"/>
        </w:numPr>
        <w:spacing w:before="0" w:after="160" w:line="240" w:lineRule="auto"/>
        <w:jc w:val="both"/>
      </w:pPr>
      <w:r>
        <w:rPr>
          <w:rFonts w:ascii="Century Gothic" w:hAnsi="Century Gothic" w:cs="Century Gothic" w:eastAsia="Century Gothic"/>
          <w:b w:val="0"/>
          <w:i w:val="0"/>
          <w:sz w:val="20"/>
        </w:rPr>
        <w:t>Proyecto de grado.</w:t>
      </w:r>
    </w:p>
    <w:p>
      <w:pPr>
        <w:numPr>
          <w:ilvl w:val="0"/>
          <w:numId w:val="901"/>
        </w:numPr>
        <w:spacing w:before="0" w:after="160" w:line="240" w:lineRule="auto"/>
        <w:jc w:val="both"/>
      </w:pPr>
      <w:r>
        <w:rPr>
          <w:rFonts w:ascii="Century Gothic" w:hAnsi="Century Gothic" w:cs="Century Gothic" w:eastAsia="Century Gothic"/>
          <w:b w:val="0"/>
          <w:i w:val="0"/>
          <w:sz w:val="20"/>
        </w:rPr>
        <w:t>Trabajo dirigido.</w:t>
      </w:r>
    </w:p>
    <w:p>
      <w:pPr>
        <w:numPr>
          <w:ilvl w:val="0"/>
          <w:numId w:val="901"/>
        </w:numPr>
        <w:spacing w:before="0" w:after="160" w:line="240" w:lineRule="auto"/>
        <w:jc w:val="both"/>
      </w:pPr>
      <w:r>
        <w:rPr>
          <w:rFonts w:ascii="Century Gothic" w:hAnsi="Century Gothic" w:cs="Century Gothic" w:eastAsia="Century Gothic"/>
          <w:b w:val="0"/>
          <w:i w:val="0"/>
          <w:sz w:val="20"/>
        </w:rPr>
        <w:t>Examen de grado por ciclos.</w:t>
      </w:r>
    </w:p>
    <w:p>
      <w:pPr>
        <w:numPr>
          <w:ilvl w:val="0"/>
          <w:numId w:val="901"/>
        </w:numPr>
        <w:spacing w:before="0" w:after="160" w:line="240" w:lineRule="auto"/>
        <w:jc w:val="both"/>
      </w:pPr>
      <w:r>
        <w:rPr>
          <w:rFonts w:ascii="Century Gothic" w:hAnsi="Century Gothic" w:cs="Century Gothic" w:eastAsia="Century Gothic"/>
          <w:b w:val="0"/>
          <w:i w:val="0"/>
          <w:sz w:val="20"/>
        </w:rPr>
        <w:t>Graduación por excelencia, conforme a su reglamento específico.</w:t>
      </w:r>
    </w:p>
    <w:p>
      <w:pPr>
        <w:numPr>
          <w:ilvl w:val="0"/>
          <w:numId w:val="901"/>
        </w:numPr>
        <w:spacing w:before="0" w:after="160" w:line="240" w:lineRule="auto"/>
        <w:jc w:val="both"/>
      </w:pPr>
      <w:r>
        <w:rPr>
          <w:rFonts w:ascii="Century Gothic" w:hAnsi="Century Gothic" w:cs="Century Gothic" w:eastAsia="Century Gothic"/>
          <w:b w:val="0"/>
          <w:i w:val="0"/>
          <w:sz w:val="20"/>
        </w:rPr>
        <w:t>Diplomado de articulación entre grado y postgrado, conforme al Reglamento General de Estudios de Posgrado.</w:t>
      </w:r>
    </w:p>
    <w:p>
      <w:pPr>
        <w:numPr>
          <w:ilvl w:val="0"/>
          <w:numId w:val="901"/>
        </w:numPr>
        <w:spacing w:before="0" w:after="200" w:line="240" w:lineRule="auto"/>
        <w:jc w:val="both"/>
      </w:pPr>
      <w:r>
        <w:rPr>
          <w:rFonts w:ascii="Century Gothic" w:hAnsi="Century Gothic" w:cs="Century Gothic" w:eastAsia="Century Gothic"/>
          <w:b w:val="0"/>
          <w:i w:val="0"/>
          <w:sz w:val="20"/>
        </w:rPr>
        <w:t>Plan Excepcional de Titulación para Antiguos Estudiantes No Graduados, PETAENG, conforme a su reglamento específico.</w:t>
      </w:r>
    </w:p>
    <w:p>
      <w:pPr>
        <w:spacing w:before="0" w:after="200" w:line="240" w:lineRule="auto"/>
        <w:jc w:val="both"/>
      </w:pPr>
      <w:r>
        <w:rPr>
          <w:rFonts w:ascii="Century Gothic" w:hAnsi="Century Gothic" w:cs="Century Gothic" w:eastAsia="Century Gothic"/>
          <w:b/>
          <w:i w:val="0"/>
          <w:sz w:val="20"/>
        </w:rPr>
        <w:t>Artículo 5. Requisitos de habilitación.</w:t>
      </w:r>
      <w:r>
        <w:rPr>
          <w:rFonts w:ascii="Century Gothic" w:hAnsi="Century Gothic" w:cs="Century Gothic" w:eastAsia="Century Gothic"/>
          <w:b w:val="0"/>
          <w:i w:val="0"/>
          <w:sz w:val="20"/>
        </w:rPr>
        <w:t xml:space="preserve"> El postulante presenta el certificado de conclusión de estudios y cumple los requisitos académicos y administrativos y el pago de los valores universitarios establecidos.</w:t>
      </w:r>
    </w:p>
    <w:p>
      <w:pPr>
        <w:spacing w:before="0" w:after="200" w:line="240" w:lineRule="auto"/>
        <w:jc w:val="both"/>
      </w:pPr>
      <w:r>
        <w:rPr>
          <w:rFonts w:ascii="Century Gothic" w:hAnsi="Century Gothic" w:cs="Century Gothic" w:eastAsia="Century Gothic"/>
          <w:b/>
          <w:i w:val="0"/>
          <w:sz w:val="20"/>
        </w:rPr>
        <w:t>Artículo 6. Plazos.</w:t>
      </w:r>
      <w:r>
        <w:rPr>
          <w:rFonts w:ascii="Century Gothic" w:hAnsi="Century Gothic" w:cs="Century Gothic" w:eastAsia="Century Gothic"/>
          <w:b w:val="0"/>
          <w:i w:val="0"/>
          <w:sz w:val="20"/>
        </w:rPr>
        <w:t xml:space="preserve"> El plazo para elaborar y sustentar la tesis o el proyecto de grado es de doce meses desde la aprobación del perfil, ampliable por única vez hasta tres meses mediante resolución del Director de Carrera. Vencido el plazo, el postulante inicia un nuevo trámite con otro tema. El trabajo dirigido se concluye en un plazo máximo de ocho meses, con dedicación exclusiva.</w:t>
      </w:r>
    </w:p>
    <w:p>
      <w:pPr>
        <w:spacing w:before="0" w:after="200" w:line="240" w:lineRule="auto"/>
        <w:jc w:val="both"/>
      </w:pPr>
      <w:r>
        <w:rPr>
          <w:rFonts w:ascii="Century Gothic" w:hAnsi="Century Gothic" w:cs="Century Gothic" w:eastAsia="Century Gothic"/>
          <w:b/>
          <w:i w:val="0"/>
          <w:sz w:val="20"/>
        </w:rPr>
        <w:t>Artículo 7. Restricciones.</w:t>
      </w:r>
      <w:r>
        <w:rPr>
          <w:rFonts w:ascii="Century Gothic" w:hAnsi="Century Gothic" w:cs="Century Gothic" w:eastAsia="Century Gothic"/>
          <w:b w:val="0"/>
          <w:i w:val="0"/>
          <w:sz w:val="20"/>
        </w:rPr>
        <w:t xml:space="preserve"> Se aplican las siguientes restricciones:</w:t>
      </w:r>
    </w:p>
    <w:p>
      <w:pPr>
        <w:numPr>
          <w:ilvl w:val="0"/>
          <w:numId w:val="902"/>
        </w:numPr>
        <w:spacing w:before="0" w:after="160" w:line="240" w:lineRule="auto"/>
        <w:jc w:val="both"/>
      </w:pPr>
      <w:r>
        <w:rPr>
          <w:rFonts w:ascii="Century Gothic" w:hAnsi="Century Gothic" w:cs="Century Gothic" w:eastAsia="Century Gothic"/>
          <w:b w:val="0"/>
          <w:i w:val="0"/>
          <w:sz w:val="20"/>
        </w:rPr>
        <w:t>El Director de Carrera no puede ser tutor académico de tesis, proyectos de grado ni trabajos dirigidos.</w:t>
      </w:r>
    </w:p>
    <w:p>
      <w:pPr>
        <w:numPr>
          <w:ilvl w:val="0"/>
          <w:numId w:val="902"/>
        </w:numPr>
        <w:spacing w:before="0" w:after="160" w:line="240" w:lineRule="auto"/>
        <w:jc w:val="both"/>
      </w:pPr>
      <w:r>
        <w:rPr>
          <w:rFonts w:ascii="Century Gothic" w:hAnsi="Century Gothic" w:cs="Century Gothic" w:eastAsia="Century Gothic"/>
          <w:b w:val="0"/>
          <w:i w:val="0"/>
          <w:sz w:val="20"/>
        </w:rPr>
        <w:t>El tutor académico no puede efectuar cobros por ningún concepto al postulante.</w:t>
      </w:r>
    </w:p>
    <w:p>
      <w:pPr>
        <w:numPr>
          <w:ilvl w:val="0"/>
          <w:numId w:val="902"/>
        </w:numPr>
        <w:spacing w:before="0" w:after="200" w:line="240" w:lineRule="auto"/>
        <w:jc w:val="both"/>
      </w:pPr>
      <w:r>
        <w:rPr>
          <w:rFonts w:ascii="Century Gothic" w:hAnsi="Century Gothic" w:cs="Century Gothic" w:eastAsia="Century Gothic"/>
          <w:b w:val="0"/>
          <w:i w:val="0"/>
          <w:sz w:val="20"/>
        </w:rPr>
        <w:t>Los docentes designados como tribunal del examen de grado no pueden dictar clases, cursillos, seminarios ni talleres pagados a los postulantes de ese examen.</w:t>
      </w:r>
    </w:p>
    <w:p>
      <w:pPr>
        <w:spacing w:before="0" w:after="200" w:line="240" w:lineRule="auto"/>
        <w:jc w:val="both"/>
      </w:pPr>
      <w:r>
        <w:rPr>
          <w:rFonts w:ascii="Century Gothic" w:hAnsi="Century Gothic" w:cs="Century Gothic" w:eastAsia="Century Gothic"/>
          <w:b/>
          <w:i w:val="0"/>
          <w:sz w:val="20"/>
        </w:rPr>
        <w:t>Artículo 8. Presentación digital.</w:t>
      </w:r>
      <w:r>
        <w:rPr>
          <w:rFonts w:ascii="Century Gothic" w:hAnsi="Century Gothic" w:cs="Century Gothic" w:eastAsia="Century Gothic"/>
          <w:b w:val="0"/>
          <w:i w:val="0"/>
          <w:sz w:val="20"/>
        </w:rPr>
        <w:t xml:space="preserve"> La presentación, la revisión de perfiles y borradores y los informes de tutores y tribunales se realizan en formato digital, con firma digital o mediante el correo institucional. La entrega física se limita a un ejemplar empastado final para la Biblioteca de la Carrera; el repositorio institucional de la UMSA recibe la versión digital.</w:t>
      </w:r>
    </w:p>
    <w:p>
      <w:pPr>
        <w:spacing w:before="0" w:after="200" w:line="240" w:lineRule="auto"/>
        <w:jc w:val="both"/>
      </w:pPr>
      <w:r>
        <w:rPr>
          <w:rFonts w:ascii="Century Gothic" w:hAnsi="Century Gothic" w:cs="Century Gothic" w:eastAsia="Century Gothic"/>
          <w:b/>
          <w:i w:val="0"/>
          <w:sz w:val="20"/>
        </w:rPr>
        <w:t>Artículo 9. Escala de calificación.</w:t>
      </w:r>
      <w:r>
        <w:rPr>
          <w:rFonts w:ascii="Century Gothic" w:hAnsi="Century Gothic" w:cs="Century Gothic" w:eastAsia="Century Gothic"/>
          <w:b w:val="0"/>
          <w:i w:val="0"/>
          <w:sz w:val="20"/>
        </w:rPr>
        <w:t xml:space="preserve"> Todas las modalidades se califican sobre 100 puntos, con 51 puntos como nota mínima de aprobación, conforme al Reglamento General de Tipos y Modalidades de Graduación del Sistema de la Universidad Boliviana:</w:t>
      </w:r>
    </w:p>
    <w:p>
      <w:pPr>
        <w:keepNext/>
        <w:spacing w:before="40" w:after="80" w:line="240" w:lineRule="auto"/>
        <w:jc w:val="center"/>
      </w:pPr>
      <w:r>
        <w:rPr>
          <w:rFonts w:ascii="Century Gothic" w:hAnsi="Century Gothic" w:cs="Century Gothic" w:eastAsia="Century Gothic"/>
          <w:b/>
          <w:i w:val="0"/>
          <w:sz w:val="20"/>
        </w:rPr>
        <w:t>Cuadro 3. Escala de calificación de las modalidades de graduación</w:t>
      </w:r>
    </w:p>
    <w:tbl>
      <w:tblPr>
        <w:tblW w:type="auto" w:w="0"/>
        <w:jc w:val="center"/>
        <w:tblLayout w:type="fixed"/>
        <w:tblLook w:firstColumn="1" w:firstRow="1" w:lastColumn="0" w:lastRow="0" w:noHBand="0" w:noVBand="1" w:val="04A0"/>
      </w:tblPr>
      <w:tblGrid>
        <w:gridCol w:w="6236"/>
        <w:gridCol w:w="2268"/>
      </w:tblGrid>
      <w:tr>
        <w:trPr>
          <w:tblHeader/>
        </w:trPr>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Calificación cualitativa</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Puntaje</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Reprobado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 a 50</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Aprobado, bueno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51 a 70</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Sobresaliente, con recomendación de publicación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71 a 89</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Excelente, con mención honorífica y recomendación de publicación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90 a 100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La calificación final es la media aritmética de las calificaciones de los miembros del tribunal y se consigna en el acta, en números enteros y en forma literal.</w:t>
      </w:r>
    </w:p>
    <w:p>
      <w:pPr>
        <w:keepNext/>
        <w:spacing w:before="0" w:after="120" w:line="240" w:lineRule="auto"/>
        <w:jc w:val="left"/>
      </w:pPr>
      <w:r>
        <w:rPr>
          <w:rFonts w:ascii="Century Gothic" w:hAnsi="Century Gothic" w:cs="Century Gothic" w:eastAsia="Century Gothic"/>
          <w:b/>
          <w:i w:val="0"/>
          <w:sz w:val="20"/>
        </w:rPr>
        <w:t>Capítulo II. Tesis de grado y proyecto de grado</w:t>
      </w:r>
    </w:p>
    <w:p>
      <w:pPr>
        <w:spacing w:before="0" w:after="200" w:line="240" w:lineRule="auto"/>
        <w:jc w:val="both"/>
      </w:pPr>
      <w:r>
        <w:rPr>
          <w:rFonts w:ascii="Century Gothic" w:hAnsi="Century Gothic" w:cs="Century Gothic" w:eastAsia="Century Gothic"/>
          <w:b/>
          <w:i w:val="0"/>
          <w:sz w:val="20"/>
        </w:rPr>
        <w:t>Artículo 10. Conceptos.</w:t>
      </w:r>
      <w:r>
        <w:rPr>
          <w:rFonts w:ascii="Century Gothic" w:hAnsi="Century Gothic" w:cs="Century Gothic" w:eastAsia="Century Gothic"/>
          <w:b w:val="0"/>
          <w:i w:val="0"/>
          <w:sz w:val="20"/>
        </w:rPr>
        <w:t xml:space="preserve"> La </w:t>
      </w:r>
      <w:r>
        <w:rPr>
          <w:rFonts w:ascii="Century Gothic" w:hAnsi="Century Gothic" w:cs="Century Gothic" w:eastAsia="Century Gothic"/>
          <w:b/>
          <w:i w:val="0"/>
          <w:sz w:val="20"/>
        </w:rPr>
        <w:t>tesis de grado</w:t>
      </w:r>
      <w:r>
        <w:rPr>
          <w:rFonts w:ascii="Century Gothic" w:hAnsi="Century Gothic" w:cs="Century Gothic" w:eastAsia="Century Gothic"/>
          <w:b w:val="0"/>
          <w:i w:val="0"/>
          <w:sz w:val="20"/>
        </w:rPr>
        <w:t xml:space="preserve"> es un trabajo de investigación individual que aplica una metodología adecuada para identificar, analizar y proponer una solución teórica o práctica a un problema relevante de la contabilidad, el aseguramiento o las finanzas, vinculado a las líneas de investigación del punto 6.2. El </w:t>
      </w:r>
      <w:r>
        <w:rPr>
          <w:rFonts w:ascii="Century Gothic" w:hAnsi="Century Gothic" w:cs="Century Gothic" w:eastAsia="Century Gothic"/>
          <w:b/>
          <w:i w:val="0"/>
          <w:sz w:val="20"/>
        </w:rPr>
        <w:t>proyecto de grado</w:t>
      </w:r>
      <w:r>
        <w:rPr>
          <w:rFonts w:ascii="Century Gothic" w:hAnsi="Century Gothic" w:cs="Century Gothic" w:eastAsia="Century Gothic"/>
          <w:b w:val="0"/>
          <w:i w:val="0"/>
          <w:sz w:val="20"/>
        </w:rPr>
        <w:t xml:space="preserve"> es una investigación aplicada orientada al diseño de una solución práctica de uso social, empresarial o institucional, con profundidad metodológica equivalente a la tesis. Ambas modalidades siguen el procedimiento de este capítulo.</w:t>
      </w:r>
    </w:p>
    <w:p>
      <w:pPr>
        <w:spacing w:before="0" w:after="200" w:line="240" w:lineRule="auto"/>
        <w:jc w:val="both"/>
      </w:pPr>
      <w:r>
        <w:rPr>
          <w:rFonts w:ascii="Century Gothic" w:hAnsi="Century Gothic" w:cs="Century Gothic" w:eastAsia="Century Gothic"/>
          <w:b/>
          <w:i w:val="0"/>
          <w:sz w:val="20"/>
        </w:rPr>
        <w:t>Artículo 11. Tutor académico.</w:t>
      </w:r>
      <w:r>
        <w:rPr>
          <w:rFonts w:ascii="Century Gothic" w:hAnsi="Century Gothic" w:cs="Century Gothic" w:eastAsia="Century Gothic"/>
          <w:b w:val="0"/>
          <w:i w:val="0"/>
          <w:sz w:val="20"/>
        </w:rPr>
        <w:t xml:space="preserve"> El tutor académico es un docente titular o interino de la Carrera con grado mínimo de licenciatura otorgado por el Sistema de la Universidad Boliviana. Todo docente tiene la obligación de aceptar tutorías según su especialidad y disponibilidad. Son obligaciones del tutor:</w:t>
      </w:r>
    </w:p>
    <w:p>
      <w:pPr>
        <w:numPr>
          <w:ilvl w:val="0"/>
          <w:numId w:val="903"/>
        </w:numPr>
        <w:spacing w:before="0" w:after="160" w:line="240" w:lineRule="auto"/>
        <w:jc w:val="both"/>
      </w:pPr>
      <w:r>
        <w:rPr>
          <w:rFonts w:ascii="Century Gothic" w:hAnsi="Century Gothic" w:cs="Century Gothic" w:eastAsia="Century Gothic"/>
          <w:b w:val="0"/>
          <w:i w:val="0"/>
          <w:sz w:val="20"/>
        </w:rPr>
        <w:t>Orientar y guiar la elaboración del trabajo.</w:t>
      </w:r>
    </w:p>
    <w:p>
      <w:pPr>
        <w:numPr>
          <w:ilvl w:val="0"/>
          <w:numId w:val="903"/>
        </w:numPr>
        <w:spacing w:before="0" w:after="160" w:line="240" w:lineRule="auto"/>
        <w:jc w:val="both"/>
      </w:pPr>
      <w:r>
        <w:rPr>
          <w:rFonts w:ascii="Century Gothic" w:hAnsi="Century Gothic" w:cs="Century Gothic" w:eastAsia="Century Gothic"/>
          <w:b w:val="0"/>
          <w:i w:val="0"/>
          <w:sz w:val="20"/>
        </w:rPr>
        <w:t>Revisar el perfil, el borrador y la versión final antes de cada presentación y certificar su suficiencia.</w:t>
      </w:r>
    </w:p>
    <w:p>
      <w:pPr>
        <w:numPr>
          <w:ilvl w:val="0"/>
          <w:numId w:val="903"/>
        </w:numPr>
        <w:spacing w:before="0" w:after="160" w:line="240" w:lineRule="auto"/>
        <w:jc w:val="both"/>
      </w:pPr>
      <w:r>
        <w:rPr>
          <w:rFonts w:ascii="Century Gothic" w:hAnsi="Century Gothic" w:cs="Century Gothic" w:eastAsia="Century Gothic"/>
          <w:b w:val="0"/>
          <w:i w:val="0"/>
          <w:sz w:val="20"/>
        </w:rPr>
        <w:t>Participar en la defensa para aclarar aspectos del desarrollo del trabajo.</w:t>
      </w:r>
    </w:p>
    <w:p>
      <w:pPr>
        <w:numPr>
          <w:ilvl w:val="0"/>
          <w:numId w:val="903"/>
        </w:numPr>
        <w:spacing w:before="0" w:after="200" w:line="240" w:lineRule="auto"/>
        <w:jc w:val="both"/>
      </w:pPr>
      <w:r>
        <w:rPr>
          <w:rFonts w:ascii="Century Gothic" w:hAnsi="Century Gothic" w:cs="Century Gothic" w:eastAsia="Century Gothic"/>
          <w:b w:val="0"/>
          <w:i w:val="0"/>
          <w:sz w:val="20"/>
        </w:rPr>
        <w:t>Exigir el cumplimiento de los requisitos de la modalidad.</w:t>
      </w:r>
    </w:p>
    <w:p>
      <w:pPr>
        <w:spacing w:before="0" w:after="200" w:line="240" w:lineRule="auto"/>
        <w:jc w:val="both"/>
      </w:pPr>
      <w:r>
        <w:rPr>
          <w:rFonts w:ascii="Century Gothic" w:hAnsi="Century Gothic" w:cs="Century Gothic" w:eastAsia="Century Gothic"/>
          <w:b/>
          <w:i w:val="0"/>
          <w:sz w:val="20"/>
        </w:rPr>
        <w:t>Artículo 12. Designación del tutor.</w:t>
      </w:r>
      <w:r>
        <w:rPr>
          <w:rFonts w:ascii="Century Gothic" w:hAnsi="Century Gothic" w:cs="Century Gothic" w:eastAsia="Century Gothic"/>
          <w:b w:val="0"/>
          <w:i w:val="0"/>
          <w:sz w:val="20"/>
        </w:rPr>
        <w:t xml:space="preserve"> El Director de Carrera designa al tutor académico a solicitud del postulante y con la aceptación del docente. Las tutorías de los docentes interinos se sujetan al calendario académico.</w:t>
      </w:r>
    </w:p>
    <w:p>
      <w:pPr>
        <w:spacing w:before="0" w:after="200" w:line="240" w:lineRule="auto"/>
        <w:jc w:val="both"/>
      </w:pPr>
      <w:r>
        <w:rPr>
          <w:rFonts w:ascii="Century Gothic" w:hAnsi="Century Gothic" w:cs="Century Gothic" w:eastAsia="Century Gothic"/>
          <w:b/>
          <w:i w:val="0"/>
          <w:sz w:val="20"/>
        </w:rPr>
        <w:t>Artículo 13. Fases.</w:t>
      </w:r>
      <w:r>
        <w:rPr>
          <w:rFonts w:ascii="Century Gothic" w:hAnsi="Century Gothic" w:cs="Century Gothic" w:eastAsia="Century Gothic"/>
          <w:b w:val="0"/>
          <w:i w:val="0"/>
          <w:sz w:val="20"/>
        </w:rPr>
        <w:t xml:space="preserve"> El proceso comprende la presentación y aprobación del perfil, la presentación del borrador, la aprobación de la versión final y la defensa pública.</w:t>
      </w:r>
    </w:p>
    <w:p>
      <w:pPr>
        <w:spacing w:before="0" w:after="200" w:line="240" w:lineRule="auto"/>
        <w:jc w:val="both"/>
      </w:pPr>
      <w:r>
        <w:rPr>
          <w:rFonts w:ascii="Century Gothic" w:hAnsi="Century Gothic" w:cs="Century Gothic" w:eastAsia="Century Gothic"/>
          <w:b/>
          <w:i w:val="0"/>
          <w:sz w:val="20"/>
        </w:rPr>
        <w:t>Artículo 14. Perfil y tribunal revisor.</w:t>
      </w:r>
      <w:r>
        <w:rPr>
          <w:rFonts w:ascii="Century Gothic" w:hAnsi="Century Gothic" w:cs="Century Gothic" w:eastAsia="Century Gothic"/>
          <w:b w:val="0"/>
          <w:i w:val="0"/>
          <w:sz w:val="20"/>
        </w:rPr>
        <w:t xml:space="preserve"> Con el informe favorable del tutor, el postulante presenta el perfil a la Dirección de Carrera. El Director designa un tribunal revisor de tres docentes especialistas en el tema, que emiten sus informes por separado en un plazo de 20 días calendario. Si el plazo vence sin informe, el Director conmina al docente a emitirlo en cinco días calendario.</w:t>
      </w:r>
    </w:p>
    <w:p>
      <w:pPr>
        <w:spacing w:before="0" w:after="200" w:line="240" w:lineRule="auto"/>
        <w:jc w:val="both"/>
      </w:pPr>
      <w:r>
        <w:rPr>
          <w:rFonts w:ascii="Century Gothic" w:hAnsi="Century Gothic" w:cs="Century Gothic" w:eastAsia="Century Gothic"/>
          <w:b/>
          <w:i w:val="0"/>
          <w:sz w:val="20"/>
        </w:rPr>
        <w:t>Artículo 15. Observaciones al perfil.</w:t>
      </w:r>
      <w:r>
        <w:rPr>
          <w:rFonts w:ascii="Century Gothic" w:hAnsi="Century Gothic" w:cs="Century Gothic" w:eastAsia="Century Gothic"/>
          <w:b w:val="0"/>
          <w:i w:val="0"/>
          <w:sz w:val="20"/>
        </w:rPr>
        <w:t xml:space="preserve"> Si algún miembro del tribunal formula observaciones, el Director las comunica al postulante y al tutor, que disponen de 20 días calendario para corregir el perfil. El tribunal emite un nuevo informe en un plazo igual.</w:t>
      </w:r>
    </w:p>
    <w:p>
      <w:pPr>
        <w:spacing w:before="0" w:after="200" w:line="240" w:lineRule="auto"/>
        <w:jc w:val="both"/>
      </w:pPr>
      <w:r>
        <w:rPr>
          <w:rFonts w:ascii="Century Gothic" w:hAnsi="Century Gothic" w:cs="Century Gothic" w:eastAsia="Century Gothic"/>
          <w:b/>
          <w:i w:val="0"/>
          <w:sz w:val="20"/>
        </w:rPr>
        <w:t>Artículo 16. Aprobación del perfil.</w:t>
      </w:r>
      <w:r>
        <w:rPr>
          <w:rFonts w:ascii="Century Gothic" w:hAnsi="Century Gothic" w:cs="Century Gothic" w:eastAsia="Century Gothic"/>
          <w:b w:val="0"/>
          <w:i w:val="0"/>
          <w:sz w:val="20"/>
        </w:rPr>
        <w:t xml:space="preserve"> Con los informes favorables, el Director aprueba el perfil mediante resolución en un plazo de siete días calendario.</w:t>
      </w:r>
    </w:p>
    <w:p>
      <w:pPr>
        <w:spacing w:before="0" w:after="200" w:line="240" w:lineRule="auto"/>
        <w:jc w:val="both"/>
      </w:pPr>
      <w:r>
        <w:rPr>
          <w:rFonts w:ascii="Century Gothic" w:hAnsi="Century Gothic" w:cs="Century Gothic" w:eastAsia="Century Gothic"/>
          <w:b/>
          <w:i w:val="0"/>
          <w:sz w:val="20"/>
        </w:rPr>
        <w:t>Artículo 17. Borrador y tribunal examinador.</w:t>
      </w:r>
      <w:r>
        <w:rPr>
          <w:rFonts w:ascii="Century Gothic" w:hAnsi="Century Gothic" w:cs="Century Gothic" w:eastAsia="Century Gothic"/>
          <w:b w:val="0"/>
          <w:i w:val="0"/>
          <w:sz w:val="20"/>
        </w:rPr>
        <w:t xml:space="preserve"> En un plazo de 180 días calendario desde la aprobación del perfil, el postulante presenta el borrador con la conformidad del tutor. Salvo casos excepcionales, el tribunal revisor actúa como tribunal examinador, presidido por el docente más antiguo.</w:t>
      </w:r>
    </w:p>
    <w:p>
      <w:pPr>
        <w:spacing w:before="0" w:after="200" w:line="240" w:lineRule="auto"/>
        <w:jc w:val="both"/>
      </w:pPr>
      <w:r>
        <w:rPr>
          <w:rFonts w:ascii="Century Gothic" w:hAnsi="Century Gothic" w:cs="Century Gothic" w:eastAsia="Century Gothic"/>
          <w:b/>
          <w:i w:val="0"/>
          <w:sz w:val="20"/>
        </w:rPr>
        <w:t>Artículo 18. Informes del tribunal examinador.</w:t>
      </w:r>
      <w:r>
        <w:rPr>
          <w:rFonts w:ascii="Century Gothic" w:hAnsi="Century Gothic" w:cs="Century Gothic" w:eastAsia="Century Gothic"/>
          <w:b w:val="0"/>
          <w:i w:val="0"/>
          <w:sz w:val="20"/>
        </w:rPr>
        <w:t xml:space="preserve"> Los miembros del tribunal emiten por separado, en 20 días calendario, un informe de suficiencia o un informe con observaciones. Las observaciones se comunican al postulante y al tutor, que disponen de 30 días calendario para subsanarlas. Si no se subsanan, el tribunal emite informe de rechazo.</w:t>
      </w:r>
    </w:p>
    <w:p>
      <w:pPr>
        <w:spacing w:before="0" w:after="200" w:line="240" w:lineRule="auto"/>
        <w:jc w:val="both"/>
      </w:pPr>
      <w:r>
        <w:rPr>
          <w:rFonts w:ascii="Century Gothic" w:hAnsi="Century Gothic" w:cs="Century Gothic" w:eastAsia="Century Gothic"/>
          <w:b/>
          <w:i w:val="0"/>
          <w:sz w:val="20"/>
        </w:rPr>
        <w:t>Artículo 19. Aprobación y fecha de defensa.</w:t>
      </w:r>
      <w:r>
        <w:rPr>
          <w:rFonts w:ascii="Century Gothic" w:hAnsi="Century Gothic" w:cs="Century Gothic" w:eastAsia="Century Gothic"/>
          <w:b w:val="0"/>
          <w:i w:val="0"/>
          <w:sz w:val="20"/>
        </w:rPr>
        <w:t xml:space="preserve"> Con los informes de suficiencia, el Director aprueba el trabajo mediante resolución en siete días calendario. A solicitud del postulante, con el visto bueno del tutor, fija la fecha de la defensa según el calendario académico y la comunica al tribunal con al menos siete días calendario de anticipación.</w:t>
      </w:r>
    </w:p>
    <w:p>
      <w:pPr>
        <w:spacing w:before="0" w:after="200" w:line="240" w:lineRule="auto"/>
        <w:jc w:val="both"/>
      </w:pPr>
      <w:r>
        <w:rPr>
          <w:rFonts w:ascii="Century Gothic" w:hAnsi="Century Gothic" w:cs="Century Gothic" w:eastAsia="Century Gothic"/>
          <w:b/>
          <w:i w:val="0"/>
          <w:sz w:val="20"/>
        </w:rPr>
        <w:t>Artículo 20. Desarrollo de la defensa.</w:t>
      </w:r>
      <w:r>
        <w:rPr>
          <w:rFonts w:ascii="Century Gothic" w:hAnsi="Century Gothic" w:cs="Century Gothic" w:eastAsia="Century Gothic"/>
          <w:b w:val="0"/>
          <w:i w:val="0"/>
          <w:sz w:val="20"/>
        </w:rPr>
        <w:t xml:space="preserve"> La defensa es un acto público que se desarrolla de la siguiente manera:</w:t>
      </w:r>
    </w:p>
    <w:p>
      <w:pPr>
        <w:numPr>
          <w:ilvl w:val="0"/>
          <w:numId w:val="904"/>
        </w:numPr>
        <w:spacing w:before="0" w:after="160" w:line="240" w:lineRule="auto"/>
        <w:jc w:val="both"/>
      </w:pPr>
      <w:r>
        <w:rPr>
          <w:rFonts w:ascii="Century Gothic" w:hAnsi="Century Gothic" w:cs="Century Gothic" w:eastAsia="Century Gothic"/>
          <w:b w:val="0"/>
          <w:i w:val="0"/>
          <w:sz w:val="20"/>
        </w:rPr>
        <w:t>El tribunal se instala con sus tres miembros bajo la presidencia del docente más antiguo; en ausencia de uno de ellos, se instala con dos.</w:t>
      </w:r>
    </w:p>
    <w:p>
      <w:pPr>
        <w:numPr>
          <w:ilvl w:val="0"/>
          <w:numId w:val="904"/>
        </w:numPr>
        <w:spacing w:before="0" w:after="160" w:line="240" w:lineRule="auto"/>
        <w:jc w:val="both"/>
      </w:pPr>
      <w:r>
        <w:rPr>
          <w:rFonts w:ascii="Century Gothic" w:hAnsi="Century Gothic" w:cs="Century Gothic" w:eastAsia="Century Gothic"/>
          <w:b w:val="0"/>
          <w:i w:val="0"/>
          <w:sz w:val="20"/>
        </w:rPr>
        <w:t>El postulante expone su trabajo durante 20 a 30 minutos y puede utilizar apoyos audiovisuales.</w:t>
      </w:r>
    </w:p>
    <w:p>
      <w:pPr>
        <w:numPr>
          <w:ilvl w:val="0"/>
          <w:numId w:val="904"/>
        </w:numPr>
        <w:spacing w:before="0" w:after="160" w:line="240" w:lineRule="auto"/>
        <w:jc w:val="both"/>
      </w:pPr>
      <w:r>
        <w:rPr>
          <w:rFonts w:ascii="Century Gothic" w:hAnsi="Century Gothic" w:cs="Century Gothic" w:eastAsia="Century Gothic"/>
          <w:b w:val="0"/>
          <w:i w:val="0"/>
          <w:sz w:val="20"/>
        </w:rPr>
        <w:t>Los miembros del tribunal formulan preguntas relacionadas con el tema del trabajo.</w:t>
      </w:r>
    </w:p>
    <w:p>
      <w:pPr>
        <w:numPr>
          <w:ilvl w:val="0"/>
          <w:numId w:val="904"/>
        </w:numPr>
        <w:spacing w:before="0" w:after="160" w:line="240" w:lineRule="auto"/>
        <w:jc w:val="both"/>
      </w:pPr>
      <w:r>
        <w:rPr>
          <w:rFonts w:ascii="Century Gothic" w:hAnsi="Century Gothic" w:cs="Century Gothic" w:eastAsia="Century Gothic"/>
          <w:b w:val="0"/>
          <w:i w:val="0"/>
          <w:sz w:val="20"/>
        </w:rPr>
        <w:t>El tribunal delibera en sesión reservada, califica y consigna la nota en el acta, que firman todos sus miembros.</w:t>
      </w:r>
    </w:p>
    <w:p>
      <w:pPr>
        <w:numPr>
          <w:ilvl w:val="0"/>
          <w:numId w:val="904"/>
        </w:numPr>
        <w:spacing w:before="0" w:after="200" w:line="240" w:lineRule="auto"/>
        <w:jc w:val="both"/>
      </w:pPr>
      <w:r>
        <w:rPr>
          <w:rFonts w:ascii="Century Gothic" w:hAnsi="Century Gothic" w:cs="Century Gothic" w:eastAsia="Century Gothic"/>
          <w:b w:val="0"/>
          <w:i w:val="0"/>
          <w:sz w:val="20"/>
        </w:rPr>
        <w:t>El presidente reanuda el acto, da lectura al acta y lo clausura.</w:t>
      </w:r>
    </w:p>
    <w:p>
      <w:pPr>
        <w:spacing w:before="0" w:after="200" w:line="240" w:lineRule="auto"/>
        <w:jc w:val="both"/>
      </w:pPr>
      <w:r>
        <w:rPr>
          <w:rFonts w:ascii="Century Gothic" w:hAnsi="Century Gothic" w:cs="Century Gothic" w:eastAsia="Century Gothic"/>
          <w:b/>
          <w:i w:val="0"/>
          <w:sz w:val="20"/>
        </w:rPr>
        <w:t>Artículo 21. Evaluación.</w:t>
      </w:r>
      <w:r>
        <w:rPr>
          <w:rFonts w:ascii="Century Gothic" w:hAnsi="Century Gothic" w:cs="Century Gothic" w:eastAsia="Century Gothic"/>
          <w:b w:val="0"/>
          <w:i w:val="0"/>
          <w:sz w:val="20"/>
        </w:rPr>
        <w:t xml:space="preserve"> El tribunal evalúa el trabajo escrito por su presentación formal, relevancia y contenido, fuentes, redacción, desarrollo metodológico y resultados; y la defensa por la comunicación, la claridad, el dominio del tema, el uso de recursos y las conclusiones. La ponderación es la siguiente:</w:t>
      </w:r>
    </w:p>
    <w:p>
      <w:pPr>
        <w:keepNext/>
        <w:spacing w:before="40" w:after="80" w:line="240" w:lineRule="auto"/>
        <w:jc w:val="center"/>
      </w:pPr>
      <w:r>
        <w:rPr>
          <w:rFonts w:ascii="Century Gothic" w:hAnsi="Century Gothic" w:cs="Century Gothic" w:eastAsia="Century Gothic"/>
          <w:b/>
          <w:i w:val="0"/>
          <w:sz w:val="20"/>
        </w:rPr>
        <w:t>Cuadro 4. Ponderación de la tesis y del proyecto de grado</w:t>
      </w:r>
    </w:p>
    <w:tbl>
      <w:tblPr>
        <w:tblW w:type="auto" w:w="0"/>
        <w:jc w:val="center"/>
        <w:tblLayout w:type="fixed"/>
        <w:tblLook w:firstColumn="1" w:firstRow="1" w:lastColumn="0" w:lastRow="0" w:noHBand="0" w:noVBand="1" w:val="04A0"/>
      </w:tblPr>
      <w:tblGrid>
        <w:gridCol w:w="4535"/>
        <w:gridCol w:w="1984"/>
        <w:gridCol w:w="1984"/>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Tesis de grado</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Proyecto de grado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Presentación y contenido del trabajo escrito</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50</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45</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Sustentación oral y demostración</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Defensa y respuestas al tribunal</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25</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Total</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100</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100</w:t>
            </w:r>
          </w:p>
        </w:tc>
      </w:tr>
    </w:tbl>
    <w:p>
      <w:pPr>
        <w:spacing w:before="40" w:after="200" w:line="240" w:lineRule="auto"/>
        <w:jc w:val="left"/>
      </w:pPr>
      <w:r>
        <w:rPr>
          <w:rFonts w:ascii="Century Gothic" w:hAnsi="Century Gothic" w:cs="Century Gothic" w:eastAsia="Century Gothic"/>
          <w:b w:val="0"/>
          <w:i w:val="0"/>
          <w:sz w:val="16"/>
        </w:rPr>
        <w:t>Fuente: punto 5.4.2.</w:t>
      </w:r>
    </w:p>
    <w:p>
      <w:pPr>
        <w:spacing w:before="0" w:after="200" w:line="240" w:lineRule="auto"/>
        <w:jc w:val="both"/>
      </w:pPr>
      <w:r>
        <w:rPr>
          <w:rFonts w:ascii="Century Gothic" w:hAnsi="Century Gothic" w:cs="Century Gothic" w:eastAsia="Century Gothic"/>
          <w:b/>
          <w:i w:val="0"/>
          <w:sz w:val="20"/>
        </w:rPr>
        <w:t>Artículo 22. Inasistencia del tribunal.</w:t>
      </w:r>
      <w:r>
        <w:rPr>
          <w:rFonts w:ascii="Century Gothic" w:hAnsi="Century Gothic" w:cs="Century Gothic" w:eastAsia="Century Gothic"/>
          <w:b w:val="0"/>
          <w:i w:val="0"/>
          <w:sz w:val="20"/>
        </w:rPr>
        <w:t xml:space="preserve"> La defensa requiere un quórum mínimo de dos miembros del tribunal; sin quórum, se suspende hasta por siete días calendario. El docente que no asista sin justificación recibe amonestación del Director, y la reincidencia se informa al Honorable Consejo de Carrera para la sanción correspondiente.</w:t>
      </w:r>
    </w:p>
    <w:p>
      <w:pPr>
        <w:spacing w:before="0" w:after="200" w:line="240" w:lineRule="auto"/>
        <w:jc w:val="both"/>
      </w:pPr>
      <w:r>
        <w:rPr>
          <w:rFonts w:ascii="Century Gothic" w:hAnsi="Century Gothic" w:cs="Century Gothic" w:eastAsia="Century Gothic"/>
          <w:b/>
          <w:i w:val="0"/>
          <w:sz w:val="20"/>
        </w:rPr>
        <w:t>Artículo 23. Inasistencia del postulante.</w:t>
      </w:r>
      <w:r>
        <w:rPr>
          <w:rFonts w:ascii="Century Gothic" w:hAnsi="Century Gothic" w:cs="Century Gothic" w:eastAsia="Century Gothic"/>
          <w:b w:val="0"/>
          <w:i w:val="0"/>
          <w:sz w:val="20"/>
        </w:rPr>
        <w:t xml:space="preserve"> Si el postulante no asiste sin justificación, la defensa se suspende hasta por 60 días calendario. Si no asiste a la segunda convocatoria, el tribunal se instala y consigna en el acta la nota de reprobación.</w:t>
      </w:r>
    </w:p>
    <w:p>
      <w:pPr>
        <w:spacing w:before="0" w:after="200" w:line="240" w:lineRule="auto"/>
        <w:jc w:val="both"/>
      </w:pPr>
      <w:r>
        <w:rPr>
          <w:rFonts w:ascii="Century Gothic" w:hAnsi="Century Gothic" w:cs="Century Gothic" w:eastAsia="Century Gothic"/>
          <w:b/>
          <w:i w:val="0"/>
          <w:sz w:val="20"/>
        </w:rPr>
        <w:t>Artículo 24. Excusa.</w:t>
      </w:r>
      <w:r>
        <w:rPr>
          <w:rFonts w:ascii="Century Gothic" w:hAnsi="Century Gothic" w:cs="Century Gothic" w:eastAsia="Century Gothic"/>
          <w:b w:val="0"/>
          <w:i w:val="0"/>
          <w:sz w:val="20"/>
        </w:rPr>
        <w:t xml:space="preserve"> Los miembros del tribunal pueden excusarse por única vez, por razones de parentesco o conflicto de intereses.</w:t>
      </w:r>
    </w:p>
    <w:p>
      <w:pPr>
        <w:keepNext/>
        <w:spacing w:before="0" w:after="120" w:line="240" w:lineRule="auto"/>
        <w:jc w:val="left"/>
      </w:pPr>
      <w:r>
        <w:rPr>
          <w:rFonts w:ascii="Century Gothic" w:hAnsi="Century Gothic" w:cs="Century Gothic" w:eastAsia="Century Gothic"/>
          <w:b/>
          <w:i w:val="0"/>
          <w:sz w:val="20"/>
        </w:rPr>
        <w:t>Capítulo III. Trabajo dirigido</w:t>
      </w:r>
    </w:p>
    <w:p>
      <w:pPr>
        <w:spacing w:before="0" w:after="200" w:line="240" w:lineRule="auto"/>
        <w:jc w:val="both"/>
      </w:pPr>
      <w:r>
        <w:rPr>
          <w:rFonts w:ascii="Century Gothic" w:hAnsi="Century Gothic" w:cs="Century Gothic" w:eastAsia="Century Gothic"/>
          <w:b/>
          <w:i w:val="0"/>
          <w:sz w:val="20"/>
        </w:rPr>
        <w:t>Artículo 25. Concepto y tipos.</w:t>
      </w:r>
      <w:r>
        <w:rPr>
          <w:rFonts w:ascii="Century Gothic" w:hAnsi="Century Gothic" w:cs="Century Gothic" w:eastAsia="Century Gothic"/>
          <w:b w:val="0"/>
          <w:i w:val="0"/>
          <w:sz w:val="20"/>
        </w:rPr>
        <w:t xml:space="preserve"> Conforme a la Resolución HCU N.º 330/2022, el trabajo dirigido es un trabajo práctico preprofesional, individual o grupal de hasta tres postulantes, supervisado y evaluado por profesionales en calidad de tutores. Es </w:t>
      </w:r>
      <w:r>
        <w:rPr>
          <w:rFonts w:ascii="Century Gothic" w:hAnsi="Century Gothic" w:cs="Century Gothic" w:eastAsia="Century Gothic"/>
          <w:b/>
          <w:i w:val="0"/>
          <w:sz w:val="20"/>
        </w:rPr>
        <w:t>externo</w:t>
      </w:r>
      <w:r>
        <w:rPr>
          <w:rFonts w:ascii="Century Gothic" w:hAnsi="Century Gothic" w:cs="Century Gothic" w:eastAsia="Century Gothic"/>
          <w:b w:val="0"/>
          <w:i w:val="0"/>
          <w:sz w:val="20"/>
        </w:rPr>
        <w:t xml:space="preserve"> cuando se realiza en entidades públicas o privadas con convenio suscrito por el Rector o el Decano, e </w:t>
      </w:r>
      <w:r>
        <w:rPr>
          <w:rFonts w:ascii="Century Gothic" w:hAnsi="Century Gothic" w:cs="Century Gothic" w:eastAsia="Century Gothic"/>
          <w:b/>
          <w:i w:val="0"/>
          <w:sz w:val="20"/>
        </w:rPr>
        <w:t>interno</w:t>
      </w:r>
      <w:r>
        <w:rPr>
          <w:rFonts w:ascii="Century Gothic" w:hAnsi="Century Gothic" w:cs="Century Gothic" w:eastAsia="Century Gothic"/>
          <w:b w:val="0"/>
          <w:i w:val="0"/>
          <w:sz w:val="20"/>
        </w:rPr>
        <w:t xml:space="preserve"> cuando se realiza en dependencias de la UMSA, sin necesidad de convenio específico.</w:t>
      </w:r>
    </w:p>
    <w:p>
      <w:pPr>
        <w:spacing w:before="0" w:after="200" w:line="240" w:lineRule="auto"/>
        <w:jc w:val="both"/>
      </w:pPr>
      <w:r>
        <w:rPr>
          <w:rFonts w:ascii="Century Gothic" w:hAnsi="Century Gothic" w:cs="Century Gothic" w:eastAsia="Century Gothic"/>
          <w:b/>
          <w:i w:val="0"/>
          <w:sz w:val="20"/>
        </w:rPr>
        <w:t>Artículo 26. Requisitos del postulante.</w:t>
      </w:r>
      <w:r>
        <w:rPr>
          <w:rFonts w:ascii="Century Gothic" w:hAnsi="Century Gothic" w:cs="Century Gothic" w:eastAsia="Century Gothic"/>
          <w:b w:val="0"/>
          <w:i w:val="0"/>
          <w:sz w:val="20"/>
        </w:rPr>
        <w:t xml:space="preserve"> Además de los requisitos del Artículo 5, el postulante debe acreditar un promedio académico no menor a 60 puntos, presentar un plan de trabajo y una declaración jurada de no tener conflicto de intereses laboral, familiar, financiero o de otro tipo con la entidad.</w:t>
      </w:r>
    </w:p>
    <w:p>
      <w:pPr>
        <w:spacing w:before="0" w:after="200" w:line="240" w:lineRule="auto"/>
        <w:jc w:val="both"/>
      </w:pPr>
      <w:r>
        <w:rPr>
          <w:rFonts w:ascii="Century Gothic" w:hAnsi="Century Gothic" w:cs="Century Gothic" w:eastAsia="Century Gothic"/>
          <w:b/>
          <w:i w:val="0"/>
          <w:sz w:val="20"/>
        </w:rPr>
        <w:t>Artículo 27. Asignación de la entidad.</w:t>
      </w:r>
      <w:r>
        <w:rPr>
          <w:rFonts w:ascii="Century Gothic" w:hAnsi="Century Gothic" w:cs="Century Gothic" w:eastAsia="Century Gothic"/>
          <w:b w:val="0"/>
          <w:i w:val="0"/>
          <w:sz w:val="20"/>
        </w:rPr>
        <w:t xml:space="preserve"> Con base en los convenios suscritos, el Director publica la convocatoria según el cronograma de la Carrera, verifica los requisitos, asigna las entidades mediante sorteo público con la participación de los postulantes y de una comisión, y designa al tutor docente una vez aprobado el plan de trabajo.</w:t>
      </w:r>
    </w:p>
    <w:p>
      <w:pPr>
        <w:spacing w:before="0" w:after="200" w:line="240" w:lineRule="auto"/>
        <w:jc w:val="both"/>
      </w:pPr>
      <w:r>
        <w:rPr>
          <w:rFonts w:ascii="Century Gothic" w:hAnsi="Century Gothic" w:cs="Century Gothic" w:eastAsia="Century Gothic"/>
          <w:b/>
          <w:i w:val="0"/>
          <w:sz w:val="20"/>
        </w:rPr>
        <w:t>Artículo 28. Tutor docente.</w:t>
      </w:r>
      <w:r>
        <w:rPr>
          <w:rFonts w:ascii="Century Gothic" w:hAnsi="Century Gothic" w:cs="Century Gothic" w:eastAsia="Century Gothic"/>
          <w:b w:val="0"/>
          <w:i w:val="0"/>
          <w:sz w:val="20"/>
        </w:rPr>
        <w:t xml:space="preserve"> Es un docente titular o interino de la Carrera con grado mínimo de licenciatura. Orienta al postulante en los aspectos teóricos, técnicos y prácticos, realiza un seguimiento periódico en coordinación con el tutor profesional, valida los informes del postulante en un plazo de diez días hábiles e incorpora la calificación cuantitativa en el informe final.</w:t>
      </w:r>
    </w:p>
    <w:p>
      <w:pPr>
        <w:spacing w:before="0" w:after="200" w:line="240" w:lineRule="auto"/>
        <w:jc w:val="both"/>
      </w:pPr>
      <w:r>
        <w:rPr>
          <w:rFonts w:ascii="Century Gothic" w:hAnsi="Century Gothic" w:cs="Century Gothic" w:eastAsia="Century Gothic"/>
          <w:b/>
          <w:i w:val="0"/>
          <w:sz w:val="20"/>
        </w:rPr>
        <w:t>Artículo 29. Tutor profesional.</w:t>
      </w:r>
      <w:r>
        <w:rPr>
          <w:rFonts w:ascii="Century Gothic" w:hAnsi="Century Gothic" w:cs="Century Gothic" w:eastAsia="Century Gothic"/>
          <w:b w:val="0"/>
          <w:i w:val="0"/>
          <w:sz w:val="20"/>
        </w:rPr>
        <w:t xml:space="preserve"> Es un profesional en Contaduría Pública designado por la entidad, con grado académico igual o superior al del postulante. Guía y evalúa el cumplimiento del plan de trabajo, facilita el espacio y los medios necesarios, organiza las actividades y horarios garantizando al menos 1.280 horas de trabajo efectivo, supervisa la formación práctica y emite informes trimestrales y final, este último con la calificación cualitativa.</w:t>
      </w:r>
    </w:p>
    <w:p>
      <w:pPr>
        <w:spacing w:before="0" w:after="200" w:line="240" w:lineRule="auto"/>
        <w:jc w:val="both"/>
      </w:pPr>
      <w:r>
        <w:rPr>
          <w:rFonts w:ascii="Century Gothic" w:hAnsi="Century Gothic" w:cs="Century Gothic" w:eastAsia="Century Gothic"/>
          <w:b/>
          <w:i w:val="0"/>
          <w:sz w:val="20"/>
        </w:rPr>
        <w:t>Artículo 30. Áreas de trabajo.</w:t>
      </w:r>
      <w:r>
        <w:rPr>
          <w:rFonts w:ascii="Century Gothic" w:hAnsi="Century Gothic" w:cs="Century Gothic" w:eastAsia="Century Gothic"/>
          <w:b w:val="0"/>
          <w:i w:val="0"/>
          <w:sz w:val="20"/>
        </w:rPr>
        <w:t xml:space="preserve"> El trabajo dirigido comprende actividades de aseguramiento, incluidas la auditoría y la revisión, y servicios relacionados; información financiera y no financiera; control interno, gestión de riesgos y gobernanza; economía y finanzas; tributación; y gestión empresarial.</w:t>
      </w:r>
    </w:p>
    <w:p>
      <w:pPr>
        <w:spacing w:before="0" w:after="200" w:line="240" w:lineRule="auto"/>
        <w:jc w:val="both"/>
      </w:pPr>
      <w:r>
        <w:rPr>
          <w:rFonts w:ascii="Century Gothic" w:hAnsi="Century Gothic" w:cs="Century Gothic" w:eastAsia="Century Gothic"/>
          <w:b/>
          <w:i w:val="0"/>
          <w:sz w:val="20"/>
        </w:rPr>
        <w:t>Artículo 31. Informes y memoria.</w:t>
      </w:r>
      <w:r>
        <w:rPr>
          <w:rFonts w:ascii="Century Gothic" w:hAnsi="Century Gothic" w:cs="Century Gothic" w:eastAsia="Century Gothic"/>
          <w:b w:val="0"/>
          <w:i w:val="0"/>
          <w:sz w:val="20"/>
        </w:rPr>
        <w:t xml:space="preserve"> El postulante presenta a la Dirección de Carrera el plan de trabajo aprobado y tres informes, a los tres, seis y ocho meses, cada uno con el informe del tutor profesional y la conformidad del tutor docente. Presenta además una memoria del trabajo dirigido, que describe una de las actividades desarrolladas y se expone en la presentación pública, con la siguiente estructura: resumen ejecutivo; introducción, problema o necesidad, objetivos y justificación; marco teórico; antecedentes de la entidad y resultados del trabajo; conclusiones y recomendaciones; bibliografía y anexos.</w:t>
      </w:r>
    </w:p>
    <w:p>
      <w:pPr>
        <w:spacing w:before="0" w:after="200" w:line="240" w:lineRule="auto"/>
        <w:jc w:val="both"/>
      </w:pPr>
      <w:r>
        <w:rPr>
          <w:rFonts w:ascii="Century Gothic" w:hAnsi="Century Gothic" w:cs="Century Gothic" w:eastAsia="Century Gothic"/>
          <w:b/>
          <w:i w:val="0"/>
          <w:sz w:val="20"/>
        </w:rPr>
        <w:t>Artículo 32. Presentación pública y evaluación.</w:t>
      </w:r>
      <w:r>
        <w:rPr>
          <w:rFonts w:ascii="Century Gothic" w:hAnsi="Century Gothic" w:cs="Century Gothic" w:eastAsia="Century Gothic"/>
          <w:b w:val="0"/>
          <w:i w:val="0"/>
          <w:sz w:val="20"/>
        </w:rPr>
        <w:t xml:space="preserve"> Aprobado el trabajo, el Director designa un tribunal de tres docentes y fija la fecha de la presentación pública, que se desarrolla conforme al procedimiento del Artículo 20. La evaluación de los tres informes representa 85 puntos y la presentación pública, 15 puntos. Se aplican las disposiciones de los Artículos 22 a 24 sobre inasistencias y excusas.</w:t>
      </w:r>
    </w:p>
    <w:p>
      <w:pPr>
        <w:keepNext/>
        <w:spacing w:before="0" w:after="120" w:line="240" w:lineRule="auto"/>
        <w:jc w:val="left"/>
      </w:pPr>
      <w:r>
        <w:rPr>
          <w:rFonts w:ascii="Century Gothic" w:hAnsi="Century Gothic" w:cs="Century Gothic" w:eastAsia="Century Gothic"/>
          <w:b/>
          <w:i w:val="0"/>
          <w:sz w:val="20"/>
        </w:rPr>
        <w:t>Capítulo IV. Examen de grado</w:t>
      </w:r>
    </w:p>
    <w:p>
      <w:pPr>
        <w:spacing w:before="0" w:after="200" w:line="240" w:lineRule="auto"/>
        <w:jc w:val="both"/>
      </w:pPr>
      <w:r>
        <w:rPr>
          <w:rFonts w:ascii="Century Gothic" w:hAnsi="Century Gothic" w:cs="Century Gothic" w:eastAsia="Century Gothic"/>
          <w:b/>
          <w:i w:val="0"/>
          <w:sz w:val="20"/>
        </w:rPr>
        <w:t>Artículo 33. Concepto.</w:t>
      </w:r>
      <w:r>
        <w:rPr>
          <w:rFonts w:ascii="Century Gothic" w:hAnsi="Century Gothic" w:cs="Century Gothic" w:eastAsia="Century Gothic"/>
          <w:b w:val="0"/>
          <w:i w:val="0"/>
          <w:sz w:val="20"/>
        </w:rPr>
        <w:t xml:space="preserve"> El examen de grado evalúa la formación profesional global del postulante mediante pruebas teórico prácticas presenciales ante tribunales de docentes de las asignaturas evaluadas. Los exámenes integran los conocimientos de administración, matemáticas, economía y derecho aplicados a la profesión.</w:t>
      </w:r>
    </w:p>
    <w:p>
      <w:pPr>
        <w:spacing w:before="0" w:after="200" w:line="240" w:lineRule="auto"/>
        <w:jc w:val="both"/>
      </w:pPr>
      <w:r>
        <w:rPr>
          <w:rFonts w:ascii="Century Gothic" w:hAnsi="Century Gothic" w:cs="Century Gothic" w:eastAsia="Century Gothic"/>
          <w:b/>
          <w:i w:val="0"/>
          <w:sz w:val="20"/>
        </w:rPr>
        <w:t>Artículo 34. Convocatorias e inscripción.</w:t>
      </w:r>
      <w:r>
        <w:rPr>
          <w:rFonts w:ascii="Century Gothic" w:hAnsi="Century Gothic" w:cs="Century Gothic" w:eastAsia="Century Gothic"/>
          <w:b w:val="0"/>
          <w:i w:val="0"/>
          <w:sz w:val="20"/>
        </w:rPr>
        <w:t xml:space="preserve"> El Director de Carrera convoca al examen de grado al menos cuatro veces por gestión, según el calendario académico. El postulante se inscribe 20 días calendario antes de la fecha programada. Antes de cada convocatoria se organizan talleres de repaso de una a dos semanas a cargo de los docentes de cada área.</w:t>
      </w:r>
    </w:p>
    <w:p>
      <w:pPr>
        <w:spacing w:before="0" w:after="200" w:line="240" w:lineRule="auto"/>
        <w:jc w:val="both"/>
      </w:pPr>
      <w:r>
        <w:rPr>
          <w:rFonts w:ascii="Century Gothic" w:hAnsi="Century Gothic" w:cs="Century Gothic" w:eastAsia="Century Gothic"/>
          <w:b/>
          <w:i w:val="0"/>
          <w:sz w:val="20"/>
        </w:rPr>
        <w:t>Artículo 35. Ciclos.</w:t>
      </w:r>
      <w:r>
        <w:rPr>
          <w:rFonts w:ascii="Century Gothic" w:hAnsi="Century Gothic" w:cs="Century Gothic" w:eastAsia="Century Gothic"/>
          <w:b w:val="0"/>
          <w:i w:val="0"/>
          <w:sz w:val="20"/>
        </w:rPr>
        <w:t xml:space="preserve"> Las asignaturas troncales se agrupan en tres ciclos, cada uno con un examen:</w:t>
      </w:r>
    </w:p>
    <w:p>
      <w:pPr>
        <w:keepNext/>
        <w:spacing w:before="40" w:after="80" w:line="240" w:lineRule="auto"/>
        <w:jc w:val="center"/>
      </w:pPr>
      <w:r>
        <w:rPr>
          <w:rFonts w:ascii="Century Gothic" w:hAnsi="Century Gothic" w:cs="Century Gothic" w:eastAsia="Century Gothic"/>
          <w:b/>
          <w:i w:val="0"/>
          <w:sz w:val="20"/>
        </w:rPr>
        <w:t>Cuadro 5. Ciclos del examen de grado</w:t>
      </w:r>
    </w:p>
    <w:tbl>
      <w:tblPr>
        <w:tblW w:type="auto" w:w="0"/>
        <w:jc w:val="center"/>
        <w:tblLayout w:type="fixed"/>
        <w:tblLook w:firstColumn="1" w:firstRow="1" w:lastColumn="0" w:lastRow="0" w:noHBand="0" w:noVBand="1" w:val="04A0"/>
      </w:tblPr>
      <w:tblGrid>
        <w:gridCol w:w="3005"/>
        <w:gridCol w:w="3005"/>
        <w:gridCol w:w="3061"/>
      </w:tblGrid>
      <w:tr>
        <w:trPr>
          <w:tblHeader/>
        </w:trPr>
        <w:tc>
          <w:tcPr>
            <w:tcW w:type="dxa" w:w="30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Ciclo básico de información financiera y de gestión</w:t>
            </w:r>
          </w:p>
        </w:tc>
        <w:tc>
          <w:tcPr>
            <w:tcW w:type="dxa" w:w="30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Ciclo especializado de información financiera y finanzas</w:t>
            </w:r>
          </w:p>
        </w:tc>
        <w:tc>
          <w:tcPr>
            <w:tcW w:type="dxa" w:w="30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Ciclo de servicios de aseguramiento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CPA-101 Contabilidad Básica</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CPA-303 Contabilidad de Bancos y Entidades Financieras</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CPA-407 Auditoría Financiera</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CPA-201 Contabilidad Intermedia</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CPA-403 Contabilidad de Seguros: Privado y Social</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CPA-408 Auditoría Interna, Control Interno y Gestión de Riesgos</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CPA-202 Contabilidad de Sociedades</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CPA-401 Contabilidad Minera y Petrolera</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CPA-501 Auditoría Operativa</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CPA-203 Contabilidad de Tributos</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CPA-402 Contabilidad Agrícola y Ganadera</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CPA-504 Auditoría Gubernamental</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CPA-301 Contabilidad Internacional</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CPA-304 Contabilidad y Presupuestos Gubernamental</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CPA-503 Auditoría Tributaria</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CPA-302 Contabilidad de Costos y Gestión</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CPA-405 Finanzas Corporativas</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CPA-507 Auditoría de Proyectos Públicos y Privados</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CPA-509 Auditoría de Entidades Financieras y Servicios Relacionados</w:t>
            </w:r>
          </w:p>
        </w:tc>
      </w:tr>
    </w:tbl>
    <w:p>
      <w:pPr>
        <w:spacing w:before="40" w:after="200" w:line="240" w:lineRule="auto"/>
        <w:jc w:val="left"/>
      </w:pPr>
      <w:r>
        <w:rPr>
          <w:rFonts w:ascii="Century Gothic" w:hAnsi="Century Gothic" w:cs="Century Gothic" w:eastAsia="Century Gothic"/>
          <w:b w:val="0"/>
          <w:i w:val="0"/>
          <w:sz w:val="16"/>
        </w:rPr>
        <w:t>Fuente: punto 5.4.2.</w:t>
      </w:r>
    </w:p>
    <w:p>
      <w:pPr>
        <w:spacing w:before="0" w:after="200" w:line="240" w:lineRule="auto"/>
        <w:jc w:val="both"/>
      </w:pPr>
      <w:r>
        <w:rPr>
          <w:rFonts w:ascii="Century Gothic" w:hAnsi="Century Gothic" w:cs="Century Gothic" w:eastAsia="Century Gothic"/>
          <w:b/>
          <w:i w:val="0"/>
          <w:sz w:val="20"/>
        </w:rPr>
        <w:t>Artículo 36. Tribunal.</w:t>
      </w:r>
      <w:r>
        <w:rPr>
          <w:rFonts w:ascii="Century Gothic" w:hAnsi="Century Gothic" w:cs="Century Gothic" w:eastAsia="Century Gothic"/>
          <w:b w:val="0"/>
          <w:i w:val="0"/>
          <w:sz w:val="20"/>
        </w:rPr>
        <w:t xml:space="preserve"> El Director conforma para cada ciclo un tribunal de docentes titulares o interinos de las asignaturas del ciclo, integrado por un presidente, un secretario de actas y vocales, que rota en cada convocatoria, y designa a dos docentes para el sorteo de asignaturas. El tribunal es responsable, bajo la supervisión del Director, del correcto desarrollo del examen.</w:t>
      </w:r>
    </w:p>
    <w:p>
      <w:pPr>
        <w:spacing w:before="0" w:after="200" w:line="240" w:lineRule="auto"/>
        <w:jc w:val="both"/>
      </w:pPr>
      <w:r>
        <w:rPr>
          <w:rFonts w:ascii="Century Gothic" w:hAnsi="Century Gothic" w:cs="Century Gothic" w:eastAsia="Century Gothic"/>
          <w:b/>
          <w:i w:val="0"/>
          <w:sz w:val="20"/>
        </w:rPr>
        <w:t>Artículo 37. Metodología.</w:t>
      </w:r>
      <w:r>
        <w:rPr>
          <w:rFonts w:ascii="Century Gothic" w:hAnsi="Century Gothic" w:cs="Century Gothic" w:eastAsia="Century Gothic"/>
          <w:b w:val="0"/>
          <w:i w:val="0"/>
          <w:sz w:val="20"/>
        </w:rPr>
        <w:t xml:space="preserve"> Los exámenes de los tres ciclos se toman en tres semanas, una por ciclo. El sorteo de asignaturas se realiza con 24 horas de anticipación, en presencia de la comisión designada, que vela por su transparencia; el postulante extrae dos bolos y elige uno.</w:t>
      </w:r>
    </w:p>
    <w:p>
      <w:pPr>
        <w:spacing w:before="0" w:after="200" w:line="240" w:lineRule="auto"/>
        <w:jc w:val="both"/>
      </w:pPr>
      <w:r>
        <w:rPr>
          <w:rFonts w:ascii="Century Gothic" w:hAnsi="Century Gothic" w:cs="Century Gothic" w:eastAsia="Century Gothic"/>
          <w:b/>
          <w:i w:val="0"/>
          <w:sz w:val="20"/>
        </w:rPr>
        <w:t>Artículo 38. Desarrollo.</w:t>
      </w:r>
      <w:r>
        <w:rPr>
          <w:rFonts w:ascii="Century Gothic" w:hAnsi="Century Gothic" w:cs="Century Gothic" w:eastAsia="Century Gothic"/>
          <w:b w:val="0"/>
          <w:i w:val="0"/>
          <w:sz w:val="20"/>
        </w:rPr>
        <w:t xml:space="preserve"> El postulante se presenta una hora antes del examen y dispone de 90 minutos para la prueba. Los miembros del tribunal permanecen en el aula hasta la conclusión del acto. Cada examen se califica por al menos tres miembros del tribunal; el secretario elabora el acta con las calificaciones, que firman todos los miembros, y el presidente clausura el acto.</w:t>
      </w:r>
    </w:p>
    <w:p>
      <w:pPr>
        <w:spacing w:before="0" w:after="200" w:line="240" w:lineRule="auto"/>
        <w:jc w:val="both"/>
      </w:pPr>
      <w:r>
        <w:rPr>
          <w:rFonts w:ascii="Century Gothic" w:hAnsi="Century Gothic" w:cs="Century Gothic" w:eastAsia="Century Gothic"/>
          <w:b/>
          <w:i w:val="0"/>
          <w:sz w:val="20"/>
        </w:rPr>
        <w:t>Artículo 39. Aprobación y reprobación.</w:t>
      </w:r>
      <w:r>
        <w:rPr>
          <w:rFonts w:ascii="Century Gothic" w:hAnsi="Century Gothic" w:cs="Century Gothic" w:eastAsia="Century Gothic"/>
          <w:b w:val="0"/>
          <w:i w:val="0"/>
          <w:sz w:val="20"/>
        </w:rPr>
        <w:t xml:space="preserve"> Cada ciclo se aprueba con 51 puntos. El postulante que repruebe tres veces un mismo ciclo no queda inhabilitado de forma definitiva: puede recuperar su derecho mediante un diplomado de actualización o un programa de créditos complementarios, conforme al reglamento específico.</w:t>
      </w:r>
    </w:p>
    <w:p>
      <w:pPr>
        <w:spacing w:before="0" w:after="200" w:line="240" w:lineRule="auto"/>
        <w:jc w:val="both"/>
      </w:pPr>
      <w:r>
        <w:rPr>
          <w:rFonts w:ascii="Century Gothic" w:hAnsi="Century Gothic" w:cs="Century Gothic" w:eastAsia="Century Gothic"/>
          <w:b/>
          <w:i w:val="0"/>
          <w:sz w:val="20"/>
        </w:rPr>
        <w:t>Artículo 40. Inasistencias y excusas.</w:t>
      </w:r>
      <w:r>
        <w:rPr>
          <w:rFonts w:ascii="Century Gothic" w:hAnsi="Century Gothic" w:cs="Century Gothic" w:eastAsia="Century Gothic"/>
          <w:b w:val="0"/>
          <w:i w:val="0"/>
          <w:sz w:val="20"/>
        </w:rPr>
        <w:t xml:space="preserve"> El examen requiere un quórum mínimo de cuatro miembros del tribunal; sin quórum, se suspende hasta por 21 días calendario. El docente que no asista sin justificación recibe amonestación del Director, y la reincidencia se informa al Honorable Consejo de Carrera. El postulante que no se presente queda registrado en el acta como no presentado. Los miembros del tribunal pueden excusarse por única vez, por parentesco o conflicto de intereses.</w:t>
      </w:r>
    </w:p>
    <w:p>
      <w:pPr>
        <w:keepNext/>
        <w:spacing w:before="0" w:after="120" w:line="240" w:lineRule="auto"/>
        <w:jc w:val="left"/>
      </w:pPr>
      <w:r>
        <w:rPr>
          <w:rFonts w:ascii="Century Gothic" w:hAnsi="Century Gothic" w:cs="Century Gothic" w:eastAsia="Century Gothic"/>
          <w:b/>
          <w:i w:val="0"/>
          <w:sz w:val="20"/>
        </w:rPr>
        <w:t>Capítulo V. Otras modalidades</w:t>
      </w:r>
    </w:p>
    <w:p>
      <w:pPr>
        <w:spacing w:before="0" w:after="200" w:line="240" w:lineRule="auto"/>
        <w:jc w:val="both"/>
      </w:pPr>
      <w:r>
        <w:rPr>
          <w:rFonts w:ascii="Century Gothic" w:hAnsi="Century Gothic" w:cs="Century Gothic" w:eastAsia="Century Gothic"/>
          <w:b/>
          <w:i w:val="0"/>
          <w:sz w:val="20"/>
        </w:rPr>
        <w:t>Artículo 41. Graduación por excelencia.</w:t>
      </w:r>
      <w:r>
        <w:rPr>
          <w:rFonts w:ascii="Century Gothic" w:hAnsi="Century Gothic" w:cs="Century Gothic" w:eastAsia="Century Gothic"/>
          <w:b w:val="0"/>
          <w:i w:val="0"/>
          <w:sz w:val="20"/>
        </w:rPr>
        <w:t xml:space="preserve"> Exime al estudiante sobresaliente de exámenes o trabajos finales. Requiere haber aprobado las 43 asignaturas en primera instancia, sin reprobaciones, abandonos ni mesas de examen; concluir el plan en los cinco años reglamentarios; y acreditar el promedio mínimo fijado por la normativa de la Facultad y de la UMSA, actualmente de 75 puntos.</w:t>
      </w:r>
    </w:p>
    <w:p>
      <w:pPr>
        <w:spacing w:before="0" w:after="200" w:line="240" w:lineRule="auto"/>
        <w:jc w:val="both"/>
      </w:pPr>
      <w:r>
        <w:rPr>
          <w:rFonts w:ascii="Century Gothic" w:hAnsi="Century Gothic" w:cs="Century Gothic" w:eastAsia="Century Gothic"/>
          <w:b/>
          <w:i w:val="0"/>
          <w:sz w:val="20"/>
        </w:rPr>
        <w:t>Artículo 42. Diplomado de articulación con el postgrado.</w:t>
      </w:r>
      <w:r>
        <w:rPr>
          <w:rFonts w:ascii="Century Gothic" w:hAnsi="Century Gothic" w:cs="Century Gothic" w:eastAsia="Century Gothic"/>
          <w:b w:val="0"/>
          <w:i w:val="0"/>
          <w:sz w:val="20"/>
        </w:rPr>
        <w:t xml:space="preserve"> El estudiante de quinto año o egresado puede cursar un diplomado acreditado y aprobado por el Honorable Consejo Facultativo en áreas de especialización contable o de aseguramiento, y titularse mediante una monografía de investigación aplicada, un examen de contenidos del programa o la graduación por excelencia en el diplomado, conforme a la normativa de postgrado vigente.</w:t>
      </w:r>
    </w:p>
    <w:p>
      <w:pPr>
        <w:spacing w:before="0" w:after="200" w:line="240" w:lineRule="auto"/>
        <w:jc w:val="both"/>
      </w:pPr>
      <w:r>
        <w:rPr>
          <w:rFonts w:ascii="Century Gothic" w:hAnsi="Century Gothic" w:cs="Century Gothic" w:eastAsia="Century Gothic"/>
          <w:b/>
          <w:i w:val="0"/>
          <w:sz w:val="20"/>
        </w:rPr>
        <w:t>Artículo 43. PETAENG.</w:t>
      </w:r>
      <w:r>
        <w:rPr>
          <w:rFonts w:ascii="Century Gothic" w:hAnsi="Century Gothic" w:cs="Century Gothic" w:eastAsia="Century Gothic"/>
          <w:b w:val="0"/>
          <w:i w:val="0"/>
          <w:sz w:val="20"/>
        </w:rPr>
        <w:t xml:space="preserve"> El Plan Excepcional de Titulación para Antiguos Estudiantes No Graduados se dirige a egresados con tres o más años de antigüedad sin titulación. Comprende módulos de actualización profesional y un trabajo académico diferenciado con defensa oral ante tribunal, conforme a su reglamento específico.</w:t>
      </w:r>
    </w:p>
    <w:p>
      <w:pPr>
        <w:spacing w:before="0" w:after="200" w:line="240" w:lineRule="auto"/>
        <w:jc w:val="both"/>
      </w:pPr>
      <w:r>
        <w:rPr>
          <w:rFonts w:ascii="Century Gothic" w:hAnsi="Century Gothic" w:cs="Century Gothic" w:eastAsia="Century Gothic"/>
          <w:b/>
          <w:i w:val="0"/>
          <w:sz w:val="20"/>
        </w:rPr>
        <w:t>Artículo 44. Examen de grado de técnico superior.</w:t>
      </w:r>
      <w:r>
        <w:rPr>
          <w:rFonts w:ascii="Century Gothic" w:hAnsi="Century Gothic" w:cs="Century Gothic" w:eastAsia="Century Gothic"/>
          <w:b w:val="0"/>
          <w:i w:val="0"/>
          <w:sz w:val="20"/>
        </w:rPr>
        <w:t xml:space="preserve"> El grado de Técnico Universitario Superior en Contabilidad General se obtiene mediante un examen único ante tribunal, después de aprobar las 24 asignaturas hasta el tercer año. Se convoca dos veces por gestión, se aprueba con 51 puntos y comprende las asignaturas CPA-101, CPA-201, CPA-202, CPA-203, CPA-301, CPA-302, CPA-303 y CPA-304.</w:t>
      </w:r>
    </w:p>
    <w:p>
      <w:pPr>
        <w:keepNext/>
        <w:spacing w:before="0" w:after="120" w:line="240" w:lineRule="auto"/>
        <w:jc w:val="left"/>
      </w:pPr>
      <w:r>
        <w:rPr>
          <w:rFonts w:ascii="Century Gothic" w:hAnsi="Century Gothic" w:cs="Century Gothic" w:eastAsia="Century Gothic"/>
          <w:b/>
          <w:i w:val="0"/>
          <w:sz w:val="20"/>
        </w:rPr>
        <w:t>Capítulo VI. Disposiciones finales</w:t>
      </w:r>
    </w:p>
    <w:p>
      <w:pPr>
        <w:spacing w:before="0" w:after="200" w:line="240" w:lineRule="auto"/>
        <w:jc w:val="both"/>
      </w:pPr>
      <w:r>
        <w:rPr>
          <w:rFonts w:ascii="Century Gothic" w:hAnsi="Century Gothic" w:cs="Century Gothic" w:eastAsia="Century Gothic"/>
          <w:b/>
          <w:i w:val="0"/>
          <w:sz w:val="20"/>
        </w:rPr>
        <w:t>Artículo 45. Transición.</w:t>
      </w:r>
      <w:r>
        <w:rPr>
          <w:rFonts w:ascii="Century Gothic" w:hAnsi="Century Gothic" w:cs="Century Gothic" w:eastAsia="Century Gothic"/>
          <w:b w:val="0"/>
          <w:i w:val="0"/>
          <w:sz w:val="20"/>
        </w:rPr>
        <w:t xml:space="preserve"> Los estudiantes que concluyan el Plan 2013 disponen de un plazo de hasta tres años calendario desde su egreso para graduarse conforme a la reglamentación de ese plan. Vencido el plazo, se rigen por el presente reglamento, con los ciclos de examen de grado de las asignaturas equivalentes según el cuadro de convalidación del punto 16, o por el PETAENG.</w:t>
      </w:r>
    </w:p>
    <w:p>
      <w:pPr>
        <w:spacing w:before="0" w:after="200" w:line="240" w:lineRule="auto"/>
        <w:jc w:val="both"/>
      </w:pPr>
      <w:r>
        <w:rPr>
          <w:rFonts w:ascii="Century Gothic" w:hAnsi="Century Gothic" w:cs="Century Gothic" w:eastAsia="Century Gothic"/>
          <w:b/>
          <w:i w:val="0"/>
          <w:sz w:val="20"/>
        </w:rPr>
        <w:t>Artículo 46. Vigencia.</w:t>
      </w:r>
      <w:r>
        <w:rPr>
          <w:rFonts w:ascii="Century Gothic" w:hAnsi="Century Gothic" w:cs="Century Gothic" w:eastAsia="Century Gothic"/>
          <w:b w:val="0"/>
          <w:i w:val="0"/>
          <w:sz w:val="20"/>
        </w:rPr>
        <w:t xml:space="preserve"> El presente reglamento entra en vigencia con su aprobación por las instancias universitarias correspondientes y sustituye al Reglamento de Modalidades de Graduación del Plan 2024. Su modificación se sujeta a las necesidades de actualización de la Carrera.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13.2</w:t>
        <w:tab/>
      </w:r>
      <w:r>
        <w:rPr>
          <w:rFonts w:ascii="Century Gothic" w:hAnsi="Century Gothic" w:cs="Century Gothic" w:eastAsia="Century Gothic"/>
          <w:b/>
          <w:i w:val="0"/>
          <w:sz w:val="24"/>
        </w:rPr>
        <w:t>Reglamentación del centro de investigación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13.2.1</w:t>
        <w:tab/>
      </w:r>
      <w:r>
        <w:rPr>
          <w:rFonts w:ascii="Century Gothic" w:hAnsi="Century Gothic" w:cs="Century Gothic" w:eastAsia="Century Gothic"/>
          <w:b/>
          <w:i w:val="0"/>
          <w:sz w:val="22"/>
        </w:rPr>
        <w:t>Creación y marco normativo del Instituto de Investigaciones</w:t>
      </w:r>
    </w:p>
    <w:p>
      <w:pPr>
        <w:spacing w:before="0" w:after="200" w:line="240" w:lineRule="auto"/>
        <w:jc w:val="both"/>
      </w:pPr>
      <w:r>
        <w:rPr>
          <w:rFonts w:ascii="Century Gothic" w:hAnsi="Century Gothic" w:cs="Century Gothic" w:eastAsia="Century Gothic"/>
          <w:b w:val="0"/>
          <w:i w:val="0"/>
          <w:sz w:val="20"/>
        </w:rPr>
        <w:t>La Carrera de Contaduría Auditoría, actual Contaduría Pública, aprobó el proyecto de creación de su instituto mediante la Resolución de Consejo de Carrera N.º 018/2003, homologada por la Resolución del Honorable Consejo Facultativo N.º 373/2004. El proyecto se consolidó con la Resolución del Honorable Consejo Universitario N.º 457/2004, de 6 de octubre de 2004, que aprueba la creación del Instituto de Investigaciones de Ciencias Contables, Financieras y Auditoría.</w:t>
      </w:r>
    </w:p>
    <w:p>
      <w:pPr>
        <w:spacing w:before="0" w:after="200" w:line="240" w:lineRule="auto"/>
        <w:jc w:val="both"/>
      </w:pPr>
      <w:r>
        <w:rPr>
          <w:rFonts w:ascii="Century Gothic" w:hAnsi="Century Gothic" w:cs="Century Gothic" w:eastAsia="Century Gothic"/>
          <w:b w:val="0"/>
          <w:i w:val="0"/>
          <w:sz w:val="20"/>
        </w:rPr>
        <w:t>El Instituto se rige por el Reglamento de Institutos de Investigación de la UMSA, el Reglamento de Directores de Institutos de Investigación, la Política de Investigación de la UMSA y la política de investigación de la Carrera descrita en el punto 6.1.</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13.2.2</w:t>
        <w:tab/>
      </w:r>
      <w:r>
        <w:rPr>
          <w:rFonts w:ascii="Century Gothic" w:hAnsi="Century Gothic" w:cs="Century Gothic" w:eastAsia="Century Gothic"/>
          <w:b/>
          <w:i w:val="0"/>
          <w:sz w:val="22"/>
        </w:rPr>
        <w:t>Lineamientos del reglamento interno del Instituto</w:t>
      </w:r>
    </w:p>
    <w:p>
      <w:pPr>
        <w:spacing w:before="0" w:after="200" w:line="240" w:lineRule="auto"/>
        <w:jc w:val="both"/>
      </w:pPr>
      <w:r>
        <w:rPr>
          <w:rFonts w:ascii="Century Gothic" w:hAnsi="Century Gothic" w:cs="Century Gothic" w:eastAsia="Century Gothic"/>
          <w:b w:val="0"/>
          <w:i w:val="0"/>
          <w:sz w:val="20"/>
        </w:rPr>
        <w:t>El reglamento interno del Instituto se actualizará para articularlo con el Plan 2027 con base en los siguientes lineamientos:</w:t>
      </w:r>
    </w:p>
    <w:p>
      <w:pPr>
        <w:keepNext/>
        <w:spacing w:before="40" w:after="80" w:line="240" w:lineRule="auto"/>
        <w:jc w:val="center"/>
      </w:pPr>
      <w:r>
        <w:rPr>
          <w:rFonts w:ascii="Century Gothic" w:hAnsi="Century Gothic" w:cs="Century Gothic" w:eastAsia="Century Gothic"/>
          <w:b/>
          <w:i w:val="0"/>
          <w:sz w:val="20"/>
        </w:rPr>
        <w:t>Cuadro 6. Lineamientos del reglamento interno del Instituto de Investigaciones</w:t>
      </w:r>
    </w:p>
    <w:tbl>
      <w:tblPr>
        <w:tblW w:type="auto" w:w="0"/>
        <w:jc w:val="center"/>
        <w:tblLayout w:type="fixed"/>
        <w:tblLook w:firstColumn="1" w:firstRow="1" w:lastColumn="0" w:lastRow="0" w:noHBand="0" w:noVBand="1" w:val="04A0"/>
      </w:tblPr>
      <w:tblGrid>
        <w:gridCol w:w="2154"/>
        <w:gridCol w:w="6917"/>
      </w:tblGrid>
      <w:tr>
        <w:trPr>
          <w:tblHeader/>
        </w:trPr>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Aspecto</w:t>
            </w:r>
          </w:p>
        </w:tc>
        <w:tc>
          <w:tcPr>
            <w:tcW w:type="dxa" w:w="69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Lineamiento</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Objeto</w:t>
            </w:r>
          </w:p>
        </w:tc>
        <w:tc>
          <w:tcPr>
            <w:tcW w:type="dxa" w:w="6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Desarrollar investigación científica y aplicada en ciencias contables, financieras y de auditoría, y transferir sus resultados al Estado, al sector productivo y a la sociedad</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Estructura</w:t>
            </w:r>
          </w:p>
        </w:tc>
        <w:tc>
          <w:tcPr>
            <w:tcW w:type="dxa" w:w="6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Director, designado conforme al Reglamento de Directores de Institutos de Investigación; docentes investigadores; auxiliares de investigación; y estudiantes y tesistas en investigación formativa</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Líneas de investigación</w:t>
            </w:r>
          </w:p>
        </w:tc>
        <w:tc>
          <w:tcPr>
            <w:tcW w:type="dxa" w:w="6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Las líneas prioritarias del punto 6.2, comunes al pregrado, al Instituto y al Postgrado, y su actualización conforme a la metodología del Instituto</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Participación estudiantil</w:t>
            </w:r>
          </w:p>
        </w:tc>
        <w:tc>
          <w:tcPr>
            <w:tcW w:type="dxa" w:w="6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Registro de horas de investigación de los estudiantes, incorporación de tesistas y auxiliares de investigación, y apoyo a las asignaturas CPA-204 y CPA-510</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Producción y difusión</w:t>
            </w:r>
          </w:p>
        </w:tc>
        <w:tc>
          <w:tcPr>
            <w:tcW w:type="dxa" w:w="6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Publicaciones indexadas, documentos de política pública, ferias de investigación y repositorio de resultados, conforme a las metas del punto 6.1.4</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Articulación</w:t>
            </w:r>
          </w:p>
        </w:tc>
        <w:tc>
          <w:tcPr>
            <w:tcW w:type="dxa" w:w="6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Coordinación con la Unidad de Postgrado, la interacción social del punto 7 y el Departamento de Investigación, Postgrado e Interacción Social de la UMSA</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Evaluación</w:t>
            </w:r>
          </w:p>
        </w:tc>
        <w:tc>
          <w:tcPr>
            <w:tcW w:type="dxa" w:w="6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 anual de trabajo e informe anual de resultados ante el Honorable Consejo de Carrera</w:t>
            </w:r>
          </w:p>
        </w:tc>
      </w:tr>
    </w:tbl>
    <w:p>
      <w:pPr>
        <w:spacing w:before="40" w:after="200" w:line="240" w:lineRule="auto"/>
        <w:jc w:val="left"/>
      </w:pPr>
      <w:r>
        <w:rPr>
          <w:rFonts w:ascii="Century Gothic" w:hAnsi="Century Gothic" w:cs="Century Gothic" w:eastAsia="Century Gothic"/>
          <w:b w:val="0"/>
          <w:i w:val="0"/>
          <w:sz w:val="16"/>
        </w:rPr>
        <w:t>Fuente: elaboración con base en los puntos 6 y 7.</w:t>
      </w:r>
    </w:p>
    <w:p>
      <w:pPr>
        <w:spacing w:before="0" w:after="200" w:line="240" w:lineRule="auto"/>
        <w:jc w:val="both"/>
      </w:pPr>
      <w:r>
        <w:rPr>
          <w:rFonts w:ascii="Century Gothic" w:hAnsi="Century Gothic" w:cs="Century Gothic" w:eastAsia="Century Gothic"/>
          <w:b w:val="0"/>
          <w:i w:val="0"/>
          <w:sz w:val="20"/>
        </w:rPr>
        <w:t>Para el funcionamiento del Instituto es prioritaria la designación de su Director, cargo acéfalo desde 2022, y la asignación de personal de apoyo, conforme al punto 11.2.3.</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2"/>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