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Infraestructura y Equipamiento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14.</w:t>
        <w:tab/>
      </w:r>
      <w:r>
        <w:rPr>
          <w:rFonts w:ascii="Century Gothic" w:hAnsi="Century Gothic" w:cs="Century Gothic" w:eastAsia="Century Gothic"/>
          <w:b/>
          <w:i w:val="0"/>
          <w:sz w:val="24"/>
        </w:rPr>
        <w:t>Infraestructura y equipamiento</w:t>
      </w:r>
    </w:p>
    <w:p>
      <w:pPr>
        <w:spacing w:before="0" w:after="200" w:line="240" w:lineRule="auto"/>
        <w:jc w:val="both"/>
      </w:pPr>
      <w:r>
        <w:rPr>
          <w:rFonts w:ascii="Century Gothic" w:hAnsi="Century Gothic" w:cs="Century Gothic" w:eastAsia="Century Gothic"/>
          <w:b w:val="0"/>
          <w:i w:val="0"/>
          <w:sz w:val="20"/>
        </w:rPr>
        <w:t>Este punto presenta la infraestructura y el equipamiento con que cuenta la Carrera para el desarrollo del Plan de Estudios 2027, organizados según los componentes que exige la Resolución HCU N.º 032/2025. Los requerimientos de mejora y su financiamiento se desarrollan en el punto 11 y el detalle de los recursos educativos, en el punto 10.</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14.1</w:t>
        <w:tab/>
      </w:r>
      <w:r>
        <w:rPr>
          <w:rFonts w:ascii="Century Gothic" w:hAnsi="Century Gothic" w:cs="Century Gothic" w:eastAsia="Century Gothic"/>
          <w:b/>
          <w:i w:val="0"/>
          <w:sz w:val="24"/>
        </w:rPr>
        <w:t>Aulas (físicas o virtuales)</w:t>
      </w:r>
    </w:p>
    <w:p>
      <w:pPr>
        <w:spacing w:before="0" w:after="200" w:line="240" w:lineRule="auto"/>
        <w:jc w:val="both"/>
      </w:pPr>
      <w:r>
        <w:rPr>
          <w:rFonts w:ascii="Century Gothic" w:hAnsi="Century Gothic" w:cs="Century Gothic" w:eastAsia="Century Gothic"/>
          <w:b w:val="0"/>
          <w:i w:val="0"/>
          <w:sz w:val="20"/>
        </w:rPr>
        <w:t>La Carrera dispone de ocho aulas teóricas y un aula multipropósito en el Edificio Nava Morales, Av. Montes esquina Pando, con 974 plazas y una capacidad promedio de 115 estudiantes por aula teórica, y de cuatro pabellones en el Edificio Monoblock Central, Av. Villazón, con 1.100 plazas, de uso exclusivo y administración propia de la Carrera; las demás unidades de la Universidad gestionan su uso para actividades específicas. La superficie y la capacidad de cada aula se detallan en los Cuadros 3 y 4 del punto 11. El equipamiento de las aulas es el siguiente:</w:t>
      </w:r>
    </w:p>
    <w:p>
      <w:pPr>
        <w:keepNext/>
        <w:spacing w:before="40" w:after="80" w:line="240" w:lineRule="auto"/>
        <w:jc w:val="center"/>
      </w:pPr>
      <w:r>
        <w:rPr>
          <w:rFonts w:ascii="Century Gothic" w:hAnsi="Century Gothic" w:cs="Century Gothic" w:eastAsia="Century Gothic"/>
          <w:b/>
          <w:i w:val="0"/>
          <w:sz w:val="20"/>
        </w:rPr>
        <w:t>Cuadro 1. Equipamiento de las aulas</w:t>
      </w:r>
    </w:p>
    <w:tbl>
      <w:tblPr>
        <w:tblW w:type="auto" w:w="0"/>
        <w:jc w:val="center"/>
        <w:tblLayout w:type="fixed"/>
        <w:tblLook w:firstColumn="1" w:firstRow="1" w:lastColumn="0" w:lastRow="0" w:noHBand="0" w:noVBand="1" w:val="04A0"/>
      </w:tblPr>
      <w:tblGrid>
        <w:gridCol w:w="1474"/>
        <w:gridCol w:w="935"/>
        <w:gridCol w:w="964"/>
        <w:gridCol w:w="737"/>
        <w:gridCol w:w="1134"/>
        <w:gridCol w:w="1304"/>
        <w:gridCol w:w="1049"/>
        <w:gridCol w:w="147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Ambiente</w:t>
            </w:r>
          </w:p>
        </w:tc>
        <w:tc>
          <w:tcPr>
            <w:tcW w:type="dxa" w:w="9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Pizarras</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Tarimas</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Atriles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Extractores</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Ventiladores</w:t>
            </w:r>
          </w:p>
        </w:tc>
        <w:tc>
          <w:tcPr>
            <w:tcW w:type="dxa" w:w="10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Cámaras</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Aire acondicionado</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1</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2</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4</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3</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4</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3</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5</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6</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7</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8</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Aula multipropósito</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Pabellón A</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Pabellón B</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Pabellón C</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Pabellón D</w:t>
            </w:r>
          </w:p>
        </w:tc>
        <w:tc>
          <w:tcPr>
            <w:tcW w:type="dxa" w:w="9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c>
          <w:tcPr>
            <w:tcW w:type="dxa" w:w="10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6"/>
              </w:rPr>
              <w:t>0</w:t>
            </w:r>
          </w:p>
        </w:tc>
      </w:tr>
    </w:tbl>
    <w:p>
      <w:pPr>
        <w:spacing w:before="40" w:after="200" w:line="240" w:lineRule="auto"/>
        <w:jc w:val="left"/>
      </w:pPr>
      <w:r>
        <w:rPr>
          <w:rFonts w:ascii="Century Gothic" w:hAnsi="Century Gothic" w:cs="Century Gothic" w:eastAsia="Century Gothic"/>
          <w:b w:val="0"/>
          <w:i w:val="0"/>
          <w:sz w:val="16"/>
        </w:rPr>
        <w:t>Fuente: inventario de mobiliario y equipamiento del Plan de Estudios 2024. Todas las aulas cuentan además con proyector multimedia y ecrán; los pabellones, con equipo de sonido.</w:t>
      </w:r>
    </w:p>
    <w:p>
      <w:pPr>
        <w:spacing w:before="0" w:after="200" w:line="240" w:lineRule="auto"/>
        <w:jc w:val="both"/>
      </w:pPr>
      <w:r>
        <w:rPr>
          <w:rFonts w:ascii="Century Gothic" w:hAnsi="Century Gothic" w:cs="Century Gothic" w:eastAsia="Century Gothic"/>
          <w:b w:val="0"/>
          <w:i w:val="0"/>
          <w:sz w:val="20"/>
        </w:rPr>
        <w:t>Las aulas del Edificio Nava Morales tienen pupitres bipersonales y las del Monoblock Central, filas de mesas y asientos fijos: 20 filas en los pabellones A y B, 13 en el C y 12 en el D. El mobiliario fijo dificulta el trabajo en grupos que exigen las metodologías activas del punto 4.6, y los estudiantes reportan calor o frío extremos, ventilación insuficiente y fallas de proyectores, conforme a la evaluación del punto 11.1.3.</w:t>
      </w:r>
    </w:p>
    <w:p>
      <w:pPr>
        <w:spacing w:before="40" w:after="80" w:line="240" w:lineRule="auto"/>
        <w:jc w:val="center"/>
      </w:pPr>
      <w:r>
        <w:drawing>
          <wp:inline xmlns:a="http://schemas.openxmlformats.org/drawingml/2006/main" xmlns:pic="http://schemas.openxmlformats.org/drawingml/2006/picture">
            <wp:extent cx="5220000" cy="1888372"/>
            <wp:docPr id="1" name="Picture 1"/>
            <wp:cNvGraphicFramePr>
              <a:graphicFrameLocks noChangeAspect="1"/>
            </wp:cNvGraphicFramePr>
            <a:graphic>
              <a:graphicData uri="http://schemas.openxmlformats.org/drawingml/2006/picture">
                <pic:pic>
                  <pic:nvPicPr>
                    <pic:cNvPr id="0" name="aula1.jpg"/>
                    <pic:cNvPicPr/>
                  </pic:nvPicPr>
                  <pic:blipFill>
                    <a:blip r:embed="rId11"/>
                    <a:stretch>
                      <a:fillRect/>
                    </a:stretch>
                  </pic:blipFill>
                  <pic:spPr>
                    <a:xfrm>
                      <a:off x="0" y="0"/>
                      <a:ext cx="5220000" cy="1888372"/>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 Aula 1, Edificio Nava Morales</w:t>
      </w:r>
    </w:p>
    <w:p>
      <w:pPr>
        <w:spacing w:before="40" w:after="80" w:line="240" w:lineRule="auto"/>
        <w:jc w:val="center"/>
      </w:pPr>
      <w:r>
        <w:drawing>
          <wp:inline xmlns:a="http://schemas.openxmlformats.org/drawingml/2006/main" xmlns:pic="http://schemas.openxmlformats.org/drawingml/2006/picture">
            <wp:extent cx="5220000" cy="1969811"/>
            <wp:docPr id="2" name="Picture 2"/>
            <wp:cNvGraphicFramePr>
              <a:graphicFrameLocks noChangeAspect="1"/>
            </wp:cNvGraphicFramePr>
            <a:graphic>
              <a:graphicData uri="http://schemas.openxmlformats.org/drawingml/2006/picture">
                <pic:pic>
                  <pic:nvPicPr>
                    <pic:cNvPr id="0" name="aula2.jpg"/>
                    <pic:cNvPicPr/>
                  </pic:nvPicPr>
                  <pic:blipFill>
                    <a:blip r:embed="rId12"/>
                    <a:stretch>
                      <a:fillRect/>
                    </a:stretch>
                  </pic:blipFill>
                  <pic:spPr>
                    <a:xfrm>
                      <a:off x="0" y="0"/>
                      <a:ext cx="5220000" cy="1969811"/>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2. Aula 2, Edificio Nava Morales</w:t>
      </w:r>
    </w:p>
    <w:p>
      <w:pPr>
        <w:spacing w:before="40" w:after="80" w:line="240" w:lineRule="auto"/>
        <w:jc w:val="center"/>
      </w:pPr>
      <w:r>
        <w:drawing>
          <wp:inline xmlns:a="http://schemas.openxmlformats.org/drawingml/2006/main" xmlns:pic="http://schemas.openxmlformats.org/drawingml/2006/picture">
            <wp:extent cx="5220000" cy="1967690"/>
            <wp:docPr id="3" name="Picture 3"/>
            <wp:cNvGraphicFramePr>
              <a:graphicFrameLocks noChangeAspect="1"/>
            </wp:cNvGraphicFramePr>
            <a:graphic>
              <a:graphicData uri="http://schemas.openxmlformats.org/drawingml/2006/picture">
                <pic:pic>
                  <pic:nvPicPr>
                    <pic:cNvPr id="0" name="aula3.jpg"/>
                    <pic:cNvPicPr/>
                  </pic:nvPicPr>
                  <pic:blipFill>
                    <a:blip r:embed="rId13"/>
                    <a:stretch>
                      <a:fillRect/>
                    </a:stretch>
                  </pic:blipFill>
                  <pic:spPr>
                    <a:xfrm>
                      <a:off x="0" y="0"/>
                      <a:ext cx="5220000" cy="196769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3. Aula 3, Edificio Nava Morales</w:t>
      </w:r>
    </w:p>
    <w:p>
      <w:pPr>
        <w:spacing w:before="40" w:after="80" w:line="240" w:lineRule="auto"/>
        <w:jc w:val="center"/>
      </w:pPr>
      <w:r>
        <w:drawing>
          <wp:inline xmlns:a="http://schemas.openxmlformats.org/drawingml/2006/main" xmlns:pic="http://schemas.openxmlformats.org/drawingml/2006/picture">
            <wp:extent cx="5220000" cy="1967690"/>
            <wp:docPr id="4" name="Picture 4"/>
            <wp:cNvGraphicFramePr>
              <a:graphicFrameLocks noChangeAspect="1"/>
            </wp:cNvGraphicFramePr>
            <a:graphic>
              <a:graphicData uri="http://schemas.openxmlformats.org/drawingml/2006/picture">
                <pic:pic>
                  <pic:nvPicPr>
                    <pic:cNvPr id="0" name="aula4.jpg"/>
                    <pic:cNvPicPr/>
                  </pic:nvPicPr>
                  <pic:blipFill>
                    <a:blip r:embed="rId14"/>
                    <a:stretch>
                      <a:fillRect/>
                    </a:stretch>
                  </pic:blipFill>
                  <pic:spPr>
                    <a:xfrm>
                      <a:off x="0" y="0"/>
                      <a:ext cx="5220000" cy="196769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4. Aula 4, Edificio Nava Morales</w:t>
      </w:r>
    </w:p>
    <w:p>
      <w:pPr>
        <w:spacing w:before="40" w:after="80" w:line="240" w:lineRule="auto"/>
        <w:jc w:val="center"/>
      </w:pPr>
      <w:r>
        <w:drawing>
          <wp:inline xmlns:a="http://schemas.openxmlformats.org/drawingml/2006/main" xmlns:pic="http://schemas.openxmlformats.org/drawingml/2006/picture">
            <wp:extent cx="5220000" cy="1901145"/>
            <wp:docPr id="5" name="Picture 5"/>
            <wp:cNvGraphicFramePr>
              <a:graphicFrameLocks noChangeAspect="1"/>
            </wp:cNvGraphicFramePr>
            <a:graphic>
              <a:graphicData uri="http://schemas.openxmlformats.org/drawingml/2006/picture">
                <pic:pic>
                  <pic:nvPicPr>
                    <pic:cNvPr id="0" name="aula5.jpg"/>
                    <pic:cNvPicPr/>
                  </pic:nvPicPr>
                  <pic:blipFill>
                    <a:blip r:embed="rId15"/>
                    <a:stretch>
                      <a:fillRect/>
                    </a:stretch>
                  </pic:blipFill>
                  <pic:spPr>
                    <a:xfrm>
                      <a:off x="0" y="0"/>
                      <a:ext cx="5220000" cy="1901145"/>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5. Aula 5, Edificio Nava Morales</w:t>
      </w:r>
    </w:p>
    <w:p>
      <w:pPr>
        <w:spacing w:before="40" w:after="80" w:line="240" w:lineRule="auto"/>
        <w:jc w:val="center"/>
      </w:pPr>
      <w:r>
        <w:drawing>
          <wp:inline xmlns:a="http://schemas.openxmlformats.org/drawingml/2006/main" xmlns:pic="http://schemas.openxmlformats.org/drawingml/2006/picture">
            <wp:extent cx="2700000" cy="3929314"/>
            <wp:docPr id="6" name="Picture 6"/>
            <wp:cNvGraphicFramePr>
              <a:graphicFrameLocks noChangeAspect="1"/>
            </wp:cNvGraphicFramePr>
            <a:graphic>
              <a:graphicData uri="http://schemas.openxmlformats.org/drawingml/2006/picture">
                <pic:pic>
                  <pic:nvPicPr>
                    <pic:cNvPr id="0" name="aula6.jpg"/>
                    <pic:cNvPicPr/>
                  </pic:nvPicPr>
                  <pic:blipFill>
                    <a:blip r:embed="rId16"/>
                    <a:stretch>
                      <a:fillRect/>
                    </a:stretch>
                  </pic:blipFill>
                  <pic:spPr>
                    <a:xfrm>
                      <a:off x="0" y="0"/>
                      <a:ext cx="2700000" cy="3929314"/>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6. Aula 6, Edificio Nava Morales</w:t>
      </w:r>
    </w:p>
    <w:p>
      <w:pPr>
        <w:spacing w:before="40" w:after="80" w:line="240" w:lineRule="auto"/>
        <w:jc w:val="center"/>
      </w:pPr>
      <w:r>
        <w:drawing>
          <wp:inline xmlns:a="http://schemas.openxmlformats.org/drawingml/2006/main" xmlns:pic="http://schemas.openxmlformats.org/drawingml/2006/picture">
            <wp:extent cx="5220000" cy="1838953"/>
            <wp:docPr id="7" name="Picture 7"/>
            <wp:cNvGraphicFramePr>
              <a:graphicFrameLocks noChangeAspect="1"/>
            </wp:cNvGraphicFramePr>
            <a:graphic>
              <a:graphicData uri="http://schemas.openxmlformats.org/drawingml/2006/picture">
                <pic:pic>
                  <pic:nvPicPr>
                    <pic:cNvPr id="0" name="aula7.jpg"/>
                    <pic:cNvPicPr/>
                  </pic:nvPicPr>
                  <pic:blipFill>
                    <a:blip r:embed="rId17"/>
                    <a:stretch>
                      <a:fillRect/>
                    </a:stretch>
                  </pic:blipFill>
                  <pic:spPr>
                    <a:xfrm>
                      <a:off x="0" y="0"/>
                      <a:ext cx="5220000" cy="1838953"/>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7. Aula 7, Edificio Nava Morales</w:t>
      </w:r>
    </w:p>
    <w:p>
      <w:pPr>
        <w:spacing w:before="40" w:after="80" w:line="240" w:lineRule="auto"/>
        <w:jc w:val="center"/>
      </w:pPr>
      <w:r>
        <w:drawing>
          <wp:inline xmlns:a="http://schemas.openxmlformats.org/drawingml/2006/main" xmlns:pic="http://schemas.openxmlformats.org/drawingml/2006/picture">
            <wp:extent cx="5220000" cy="1729295"/>
            <wp:docPr id="8" name="Picture 8"/>
            <wp:cNvGraphicFramePr>
              <a:graphicFrameLocks noChangeAspect="1"/>
            </wp:cNvGraphicFramePr>
            <a:graphic>
              <a:graphicData uri="http://schemas.openxmlformats.org/drawingml/2006/picture">
                <pic:pic>
                  <pic:nvPicPr>
                    <pic:cNvPr id="0" name="aula8.jpg"/>
                    <pic:cNvPicPr/>
                  </pic:nvPicPr>
                  <pic:blipFill>
                    <a:blip r:embed="rId18"/>
                    <a:stretch>
                      <a:fillRect/>
                    </a:stretch>
                  </pic:blipFill>
                  <pic:spPr>
                    <a:xfrm>
                      <a:off x="0" y="0"/>
                      <a:ext cx="5220000" cy="1729295"/>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8. Aula 8, Edificio Nava Morales</w:t>
      </w:r>
    </w:p>
    <w:p>
      <w:pPr>
        <w:spacing w:before="40" w:after="80" w:line="240" w:lineRule="auto"/>
        <w:jc w:val="center"/>
      </w:pPr>
      <w:r>
        <w:drawing>
          <wp:inline xmlns:a="http://schemas.openxmlformats.org/drawingml/2006/main" xmlns:pic="http://schemas.openxmlformats.org/drawingml/2006/picture">
            <wp:extent cx="5220000" cy="1845455"/>
            <wp:docPr id="9" name="Picture 9"/>
            <wp:cNvGraphicFramePr>
              <a:graphicFrameLocks noChangeAspect="1"/>
            </wp:cNvGraphicFramePr>
            <a:graphic>
              <a:graphicData uri="http://schemas.openxmlformats.org/drawingml/2006/picture">
                <pic:pic>
                  <pic:nvPicPr>
                    <pic:cNvPr id="0" name="mono1.jpg"/>
                    <pic:cNvPicPr/>
                  </pic:nvPicPr>
                  <pic:blipFill>
                    <a:blip r:embed="rId19"/>
                    <a:stretch>
                      <a:fillRect/>
                    </a:stretch>
                  </pic:blipFill>
                  <pic:spPr>
                    <a:xfrm>
                      <a:off x="0" y="0"/>
                      <a:ext cx="5220000" cy="1845455"/>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9. Pabellones del Edificio Monoblock Central</w:t>
      </w:r>
    </w:p>
    <w:p>
      <w:pPr>
        <w:spacing w:before="40" w:after="80" w:line="240" w:lineRule="auto"/>
        <w:jc w:val="center"/>
      </w:pPr>
      <w:r>
        <w:drawing>
          <wp:inline xmlns:a="http://schemas.openxmlformats.org/drawingml/2006/main" xmlns:pic="http://schemas.openxmlformats.org/drawingml/2006/picture">
            <wp:extent cx="5220000" cy="1717913"/>
            <wp:docPr id="10" name="Picture 10"/>
            <wp:cNvGraphicFramePr>
              <a:graphicFrameLocks noChangeAspect="1"/>
            </wp:cNvGraphicFramePr>
            <a:graphic>
              <a:graphicData uri="http://schemas.openxmlformats.org/drawingml/2006/picture">
                <pic:pic>
                  <pic:nvPicPr>
                    <pic:cNvPr id="0" name="mono2.jpg"/>
                    <pic:cNvPicPr/>
                  </pic:nvPicPr>
                  <pic:blipFill>
                    <a:blip r:embed="rId20"/>
                    <a:stretch>
                      <a:fillRect/>
                    </a:stretch>
                  </pic:blipFill>
                  <pic:spPr>
                    <a:xfrm>
                      <a:off x="0" y="0"/>
                      <a:ext cx="5220000" cy="1717913"/>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10. Pabellones del Edificio Monoblock Central</w:t>
      </w:r>
    </w:p>
    <w:p>
      <w:pPr>
        <w:spacing w:before="0" w:after="200" w:line="240" w:lineRule="auto"/>
        <w:jc w:val="both"/>
      </w:pPr>
      <w:r>
        <w:rPr>
          <w:rFonts w:ascii="Century Gothic" w:hAnsi="Century Gothic" w:cs="Century Gothic" w:eastAsia="Century Gothic"/>
          <w:b w:val="0"/>
          <w:i w:val="0"/>
          <w:sz w:val="20"/>
        </w:rPr>
        <w:t>Como aulas virtuales, la Carrera dispone de su plataforma virtual en Moodle y de Microsoft Teams, descritas en el punto 10.12. En el Plan 2027 cada asignatura y paralelo contará con un aula virtual para el trabajo no presencial.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14.2</w:t>
        <w:tab/>
      </w:r>
      <w:r>
        <w:rPr>
          <w:rFonts w:ascii="Century Gothic" w:hAnsi="Century Gothic" w:cs="Century Gothic" w:eastAsia="Century Gothic"/>
          <w:b/>
          <w:i w:val="0"/>
          <w:sz w:val="24"/>
        </w:rPr>
        <w:t>Tecnología audiovisual</w:t>
      </w:r>
    </w:p>
    <w:p>
      <w:pPr>
        <w:spacing w:before="0" w:after="200" w:line="240" w:lineRule="auto"/>
        <w:jc w:val="both"/>
      </w:pPr>
      <w:r>
        <w:rPr>
          <w:rFonts w:ascii="Century Gothic" w:hAnsi="Century Gothic" w:cs="Century Gothic" w:eastAsia="Century Gothic"/>
          <w:b w:val="0"/>
          <w:i w:val="0"/>
          <w:sz w:val="20"/>
        </w:rPr>
        <w:t>La Carrera cuenta con 16 proyectores multimedia y 15 ecranes distribuidos en todas las aulas, el aula multipropósito, las salas de computación y la Sala del Consejo de Carrera; atriles con parlante en los cuatro pabellones; un equipo de sonido portátil; y el equipo del auditorio, con consola mezcladora de 12 canales, control de luces y ocho micrófonos inalámbricos. El detalle se presenta en los puntos 10.1 y 10.5. El inventario no registra pantallas interactivas ni equipos para la grabación o transmisión de clases, que serán necesarios para la modalidad híbrida prevista en el punto 5.3.3.</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14.3</w:t>
        <w:tab/>
      </w:r>
      <w:r>
        <w:rPr>
          <w:rFonts w:ascii="Century Gothic" w:hAnsi="Century Gothic" w:cs="Century Gothic" w:eastAsia="Century Gothic"/>
          <w:b/>
          <w:i w:val="0"/>
          <w:sz w:val="24"/>
        </w:rPr>
        <w:t>Laboratorios / talleres</w:t>
      </w:r>
    </w:p>
    <w:p>
      <w:pPr>
        <w:spacing w:before="0" w:after="200" w:line="240" w:lineRule="auto"/>
        <w:jc w:val="both"/>
      </w:pPr>
      <w:r>
        <w:rPr>
          <w:rFonts w:ascii="Century Gothic" w:hAnsi="Century Gothic" w:cs="Century Gothic" w:eastAsia="Century Gothic"/>
          <w:b w:val="0"/>
          <w:i w:val="0"/>
          <w:sz w:val="20"/>
        </w:rPr>
        <w:t>La Carrera cuenta con dos laboratorios de computación: el del Edificio Nava Morales, en el cuarto piso, con 61 m² y capacidad para 70 estudiantes, y el del Monoblock Central, en planta baja, con 50 m² y capacidad para 36 estudiantes, donde 24 de las 27 computadoras están en mal estado según el relevamiento de octubre de 2026. Su equipamiento y software se detallan en los puntos 10.4, 10.7 y 10.8. La Carrera no cuenta con talleres ni salas de simulación para el trabajo en equipo; su habilitación forma parte de los requerimientos de mediano plazo del punto 11.1.4.</w:t>
      </w:r>
    </w:p>
    <w:p>
      <w:pPr>
        <w:spacing w:before="40" w:after="80" w:line="240" w:lineRule="auto"/>
        <w:jc w:val="center"/>
      </w:pPr>
      <w:r>
        <w:drawing>
          <wp:inline xmlns:a="http://schemas.openxmlformats.org/drawingml/2006/main" xmlns:pic="http://schemas.openxmlformats.org/drawingml/2006/picture">
            <wp:extent cx="5220000" cy="1886422"/>
            <wp:docPr id="11" name="Picture 11"/>
            <wp:cNvGraphicFramePr>
              <a:graphicFrameLocks noChangeAspect="1"/>
            </wp:cNvGraphicFramePr>
            <a:graphic>
              <a:graphicData uri="http://schemas.openxmlformats.org/drawingml/2006/picture">
                <pic:pic>
                  <pic:nvPicPr>
                    <pic:cNvPr id="0" name="compu.jpg"/>
                    <pic:cNvPicPr/>
                  </pic:nvPicPr>
                  <pic:blipFill>
                    <a:blip r:embed="rId21"/>
                    <a:stretch>
                      <a:fillRect/>
                    </a:stretch>
                  </pic:blipFill>
                  <pic:spPr>
                    <a:xfrm>
                      <a:off x="0" y="0"/>
                      <a:ext cx="5220000" cy="1886422"/>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11. Laboratorios de computación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14.4</w:t>
        <w:tab/>
      </w:r>
      <w:r>
        <w:rPr>
          <w:rFonts w:ascii="Century Gothic" w:hAnsi="Century Gothic" w:cs="Century Gothic" w:eastAsia="Century Gothic"/>
          <w:b/>
          <w:i w:val="0"/>
          <w:sz w:val="24"/>
        </w:rPr>
        <w:t>Áreas de biblioteca, hemeroteca e información dura o digital</w:t>
      </w:r>
    </w:p>
    <w:p>
      <w:pPr>
        <w:spacing w:before="0" w:after="200" w:line="240" w:lineRule="auto"/>
        <w:jc w:val="both"/>
      </w:pPr>
      <w:r>
        <w:rPr>
          <w:rFonts w:ascii="Century Gothic" w:hAnsi="Century Gothic" w:cs="Century Gothic" w:eastAsia="Century Gothic"/>
          <w:b w:val="0"/>
          <w:i w:val="0"/>
          <w:sz w:val="20"/>
        </w:rPr>
        <w:t>La Biblioteca de la Carrera se ubica en el primer piso del Edificio Nava Morales:</w:t>
      </w:r>
    </w:p>
    <w:p>
      <w:pPr>
        <w:keepNext/>
        <w:spacing w:before="40" w:after="80" w:line="240" w:lineRule="auto"/>
        <w:jc w:val="center"/>
      </w:pPr>
      <w:r>
        <w:rPr>
          <w:rFonts w:ascii="Century Gothic" w:hAnsi="Century Gothic" w:cs="Century Gothic" w:eastAsia="Century Gothic"/>
          <w:b/>
          <w:i w:val="0"/>
          <w:sz w:val="20"/>
        </w:rPr>
        <w:t>Cuadro 2. Ambientes de la Biblioteca</w:t>
      </w:r>
    </w:p>
    <w:tbl>
      <w:tblPr>
        <w:tblW w:type="auto" w:w="0"/>
        <w:jc w:val="center"/>
        <w:tblLayout w:type="fixed"/>
        <w:tblLook w:firstColumn="1" w:firstRow="1" w:lastColumn="0" w:lastRow="0" w:noHBand="0" w:noVBand="1" w:val="04A0"/>
      </w:tblPr>
      <w:tblGrid>
        <w:gridCol w:w="2835"/>
        <w:gridCol w:w="1134"/>
        <w:gridCol w:w="1361"/>
        <w:gridCol w:w="1474"/>
        <w:gridCol w:w="2268"/>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Ambiente</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Piso</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Uso</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Superficie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Capacidad</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Sala de lectura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Exclusivo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51 m²</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90 estudiantes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Depósito de libros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Exclusivo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51 m²</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No aplica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Oficina de Jefatura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Exclusivo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 m²</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No aplica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Oficina de bibliotecarios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Primero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Exclusivo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 m²</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No aplica</w:t>
            </w:r>
          </w:p>
        </w:tc>
      </w:tr>
    </w:tbl>
    <w:p>
      <w:pPr>
        <w:spacing w:before="40" w:after="200" w:line="240" w:lineRule="auto"/>
        <w:jc w:val="left"/>
      </w:pPr>
      <w:r>
        <w:rPr>
          <w:rFonts w:ascii="Century Gothic" w:hAnsi="Century Gothic" w:cs="Century Gothic" w:eastAsia="Century Gothic"/>
          <w:b w:val="0"/>
          <w:i w:val="0"/>
          <w:sz w:val="16"/>
        </w:rPr>
        <w:t>Fuente: Plan de Estudios 2024.</w:t>
      </w:r>
    </w:p>
    <w:p>
      <w:pPr>
        <w:spacing w:before="0" w:after="200" w:line="240" w:lineRule="auto"/>
        <w:jc w:val="both"/>
      </w:pPr>
      <w:r>
        <w:rPr>
          <w:rFonts w:ascii="Century Gothic" w:hAnsi="Century Gothic" w:cs="Century Gothic" w:eastAsia="Century Gothic"/>
          <w:b w:val="0"/>
          <w:i w:val="0"/>
          <w:sz w:val="20"/>
        </w:rPr>
        <w:t>La sala de lectura ofrece 0,57 m² por usuario a plena capacidad y 90 plazas para 3.143 estudiantes inscritos. Cuenta con dos cámaras de seguridad y aire acondicionado. El acervo de 6.173 libros y 2.821 trabajos académicos, el sistema KOHA, el control biométrico, el repositorio institucional y el acceso a bases de datos se describen en el punto 9. La Carrera no cuenta con una hemeroteca propia, porque no tiene suscripciones a revistas especializadas; la información periódica se consulta en formato digital.</w:t>
      </w:r>
    </w:p>
    <w:p>
      <w:pPr>
        <w:spacing w:before="40" w:after="80" w:line="240" w:lineRule="auto"/>
        <w:jc w:val="center"/>
      </w:pPr>
      <w:r>
        <w:drawing>
          <wp:inline xmlns:a="http://schemas.openxmlformats.org/drawingml/2006/main" xmlns:pic="http://schemas.openxmlformats.org/drawingml/2006/picture">
            <wp:extent cx="5220000" cy="1902134"/>
            <wp:docPr id="12" name="Picture 12"/>
            <wp:cNvGraphicFramePr>
              <a:graphicFrameLocks noChangeAspect="1"/>
            </wp:cNvGraphicFramePr>
            <a:graphic>
              <a:graphicData uri="http://schemas.openxmlformats.org/drawingml/2006/picture">
                <pic:pic>
                  <pic:nvPicPr>
                    <pic:cNvPr id="0" name="biblio.jpg"/>
                    <pic:cNvPicPr/>
                  </pic:nvPicPr>
                  <pic:blipFill>
                    <a:blip r:embed="rId22"/>
                    <a:stretch>
                      <a:fillRect/>
                    </a:stretch>
                  </pic:blipFill>
                  <pic:spPr>
                    <a:xfrm>
                      <a:off x="0" y="0"/>
                      <a:ext cx="5220000" cy="1902134"/>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12. Biblioteca y sala de lectura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14.5</w:t>
        <w:tab/>
      </w:r>
      <w:r>
        <w:rPr>
          <w:rFonts w:ascii="Century Gothic" w:hAnsi="Century Gothic" w:cs="Century Gothic" w:eastAsia="Century Gothic"/>
          <w:b/>
          <w:i w:val="0"/>
          <w:sz w:val="24"/>
        </w:rPr>
        <w:t>Salas de computación y computadores estacionarios y portátiles</w:t>
      </w:r>
    </w:p>
    <w:p>
      <w:pPr>
        <w:spacing w:before="0" w:after="200" w:line="240" w:lineRule="auto"/>
        <w:jc w:val="both"/>
      </w:pPr>
      <w:r>
        <w:rPr>
          <w:rFonts w:ascii="Century Gothic" w:hAnsi="Century Gothic" w:cs="Century Gothic" w:eastAsia="Century Gothic"/>
          <w:b w:val="0"/>
          <w:i w:val="0"/>
          <w:sz w:val="20"/>
        </w:rPr>
        <w:t>Las computadoras estacionarias de uso académico se concentran en los dos laboratorios, conectados en red con acceso a internet: 70 en el Edificio Nava Morales y 27 en el Monoblock Central, de las cuales 24 están en mal estado. El laboratorio del Monoblock dispone además de seis computadoras portátiles para préstamo, dos de ellas inutilizables, y la Carrera entrega computadoras portátiles a los docentes para el uso en aula. El Centro de Cómputo, en la Av. Villazón, cuenta con el gabinete de red desde el que se distribuye el servicio de internet a todos los predios, tres impresoras, un escáner de alta velocidad y cuatro computadoras. Según el relevamiento del punto 15, el 90 % de los equipos de computación de ambos edificios ya cumplió su ciclo de vida, por lo que su renovación integral es un requerimiento de corto plazo.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14.6</w:t>
        <w:tab/>
      </w:r>
      <w:r>
        <w:rPr>
          <w:rFonts w:ascii="Century Gothic" w:hAnsi="Century Gothic" w:cs="Century Gothic" w:eastAsia="Century Gothic"/>
          <w:b/>
          <w:i w:val="0"/>
          <w:sz w:val="24"/>
        </w:rPr>
        <w:t>Ambientes administrativos y sala de docentes</w:t>
      </w:r>
    </w:p>
    <w:p>
      <w:pPr>
        <w:keepNext/>
        <w:spacing w:before="40" w:after="80" w:line="240" w:lineRule="auto"/>
        <w:jc w:val="center"/>
      </w:pPr>
      <w:r>
        <w:rPr>
          <w:rFonts w:ascii="Century Gothic" w:hAnsi="Century Gothic" w:cs="Century Gothic" w:eastAsia="Century Gothic"/>
          <w:b/>
          <w:i w:val="0"/>
          <w:sz w:val="20"/>
        </w:rPr>
        <w:t>Cuadro 3. Ambientes administrativos y sala de docentes</w:t>
      </w:r>
    </w:p>
    <w:tbl>
      <w:tblPr>
        <w:tblW w:type="auto" w:w="0"/>
        <w:jc w:val="center"/>
        <w:tblLayout w:type="fixed"/>
        <w:tblLook w:firstColumn="1" w:firstRow="1" w:lastColumn="0" w:lastRow="0" w:noHBand="0" w:noVBand="1" w:val="04A0"/>
      </w:tblPr>
      <w:tblGrid>
        <w:gridCol w:w="1928"/>
        <w:gridCol w:w="2608"/>
        <w:gridCol w:w="1474"/>
        <w:gridCol w:w="1247"/>
        <w:gridCol w:w="1814"/>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Edificio</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Dirección de Carrera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25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 funcionario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del Honorable Consejo de Carrera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15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 consejeros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Secretaría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29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 funcionario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Auxiliares de secretaría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16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 funcionarios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Ventanilla única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17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 funcionarios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Monoblock Central</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Kárdex</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Tercero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25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 funcionarios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docentes</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Cuarto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34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18 docentes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Archivos de Kárdex 1 y 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Primer sótano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44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Nava Morales</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Archivos 1 y 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Segundo sótano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119 m²</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 aplica</w:t>
            </w:r>
          </w:p>
        </w:tc>
      </w:tr>
    </w:tbl>
    <w:p>
      <w:pPr>
        <w:spacing w:before="40" w:after="200" w:line="240" w:lineRule="auto"/>
        <w:jc w:val="left"/>
      </w:pPr>
      <w:r>
        <w:rPr>
          <w:rFonts w:ascii="Century Gothic" w:hAnsi="Century Gothic" w:cs="Century Gothic" w:eastAsia="Century Gothic"/>
          <w:b w:val="0"/>
          <w:i w:val="0"/>
          <w:sz w:val="16"/>
        </w:rPr>
        <w:t>Fuente: Plan de Estudios 2024. Todos los ambientes son de uso exclusivo de la Carrera.</w:t>
      </w:r>
    </w:p>
    <w:p>
      <w:pPr>
        <w:spacing w:before="0" w:after="200" w:line="240" w:lineRule="auto"/>
        <w:jc w:val="both"/>
      </w:pPr>
      <w:r>
        <w:rPr>
          <w:rFonts w:ascii="Century Gothic" w:hAnsi="Century Gothic" w:cs="Century Gothic" w:eastAsia="Century Gothic"/>
          <w:b w:val="0"/>
          <w:i w:val="0"/>
          <w:sz w:val="20"/>
        </w:rPr>
        <w:t>La sala de docentes, con 18 plazas para 82 docentes, no permite la tutoría a estudiantes ni el trabajo colegiado que requiere el Plan 2027, y el inventario no registra una sala de docentes en el Monoblock Central. Los ambientes administrativos atienden a 23 servidores y concentran los trámites de una de las carreras con mayor población estudiantil de la Universidad.</w:t>
      </w:r>
    </w:p>
    <w:p>
      <w:pPr>
        <w:spacing w:before="40" w:after="80" w:line="240" w:lineRule="auto"/>
        <w:jc w:val="center"/>
      </w:pPr>
      <w:r>
        <w:drawing>
          <wp:inline xmlns:a="http://schemas.openxmlformats.org/drawingml/2006/main" xmlns:pic="http://schemas.openxmlformats.org/drawingml/2006/picture">
            <wp:extent cx="5220000" cy="2019900"/>
            <wp:docPr id="13" name="Picture 13"/>
            <wp:cNvGraphicFramePr>
              <a:graphicFrameLocks noChangeAspect="1"/>
            </wp:cNvGraphicFramePr>
            <a:graphic>
              <a:graphicData uri="http://schemas.openxmlformats.org/drawingml/2006/picture">
                <pic:pic>
                  <pic:nvPicPr>
                    <pic:cNvPr id="0" name="docentes.jpg"/>
                    <pic:cNvPicPr/>
                  </pic:nvPicPr>
                  <pic:blipFill>
                    <a:blip r:embed="rId23"/>
                    <a:stretch>
                      <a:fillRect/>
                    </a:stretch>
                  </pic:blipFill>
                  <pic:spPr>
                    <a:xfrm>
                      <a:off x="0" y="0"/>
                      <a:ext cx="5220000" cy="201990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13. Sala de docentes, Edificio Nava Morales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14.7</w:t>
        <w:tab/>
      </w:r>
      <w:r>
        <w:rPr>
          <w:rFonts w:ascii="Century Gothic" w:hAnsi="Century Gothic" w:cs="Century Gothic" w:eastAsia="Century Gothic"/>
          <w:b/>
          <w:i w:val="0"/>
          <w:sz w:val="24"/>
        </w:rPr>
        <w:t>Áreas de interacción social, cultural y deportiva</w:t>
      </w:r>
    </w:p>
    <w:p>
      <w:pPr>
        <w:spacing w:before="0" w:after="200" w:line="240" w:lineRule="auto"/>
        <w:jc w:val="both"/>
      </w:pPr>
      <w:r>
        <w:rPr>
          <w:rFonts w:ascii="Century Gothic" w:hAnsi="Century Gothic" w:cs="Century Gothic" w:eastAsia="Century Gothic"/>
          <w:b w:val="0"/>
          <w:i w:val="0"/>
          <w:sz w:val="20"/>
        </w:rPr>
        <w:t>Para las actividades académicas, culturales y de interacción social, la Carrera dispone del auditorio del Edificio Nava Morales, en el segundo piso, con 247 m² y capacidad para 220 personas, equipado con sistema de sonido y cuatro cámaras de seguridad, y de los pabellones del Monoblock Central para eventos de mayor convocatoria. Para las actividades deportivas, docentes, estudiantes y administrativos utilizan de forma compartida la cancha polifuncional del Edificio Nava Morales, el Coliseo de la UMSA, en la calle Federico Zuazo, y las instalaciones del Campus Universitario de Cota Cota. Para la consultoría social contable y las campañas del punto 7 se requiere un ambiente de atención al público con acceso independiente.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14.8</w:t>
        <w:tab/>
      </w:r>
      <w:r>
        <w:rPr>
          <w:rFonts w:ascii="Century Gothic" w:hAnsi="Century Gothic" w:cs="Century Gothic" w:eastAsia="Century Gothic"/>
          <w:b/>
          <w:i w:val="0"/>
          <w:sz w:val="24"/>
        </w:rPr>
        <w:t>Infraestructura sanitaria para docentes, estudiantes y administrativos</w:t>
      </w:r>
    </w:p>
    <w:p>
      <w:pPr>
        <w:spacing w:before="0" w:after="200" w:line="240" w:lineRule="auto"/>
        <w:jc w:val="both"/>
      </w:pPr>
      <w:r>
        <w:rPr>
          <w:rFonts w:ascii="Century Gothic" w:hAnsi="Century Gothic" w:cs="Century Gothic" w:eastAsia="Century Gothic"/>
          <w:b w:val="0"/>
          <w:i w:val="0"/>
          <w:sz w:val="20"/>
        </w:rPr>
        <w:t>En el Edificio Nava Morales, la Carrera dispone de baños de uso exclusivo para damas y para varones en el primer y en el cuarto piso, que atienden a docentes y estudiantes. En el Monoblock Central, el personal utiliza los servicios del tercer piso y los estudiantes, los del segundo patio del edificio. El relevamiento del punto 15 constata que los baños, en particular los de damas, colapsan después de cada cambio de clase, por lo que se recomienda prever su ampliación previo un estudio de ingeniería, con servicios accesibles para personas con discapacidad, e incorporarlos al plan de mantenimiento del punto 11.3.2.</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14.9</w:t>
        <w:tab/>
      </w:r>
      <w:r>
        <w:rPr>
          <w:rFonts w:ascii="Century Gothic" w:hAnsi="Century Gothic" w:cs="Century Gothic" w:eastAsia="Century Gothic"/>
          <w:b/>
          <w:i w:val="0"/>
          <w:sz w:val="24"/>
        </w:rPr>
        <w:t>Software</w:t>
      </w:r>
    </w:p>
    <w:p>
      <w:pPr>
        <w:spacing w:before="0" w:after="200" w:line="240" w:lineRule="auto"/>
        <w:jc w:val="both"/>
      </w:pPr>
      <w:r>
        <w:rPr>
          <w:rFonts w:ascii="Century Gothic" w:hAnsi="Century Gothic" w:cs="Century Gothic" w:eastAsia="Century Gothic"/>
          <w:b w:val="0"/>
          <w:i w:val="0"/>
          <w:sz w:val="20"/>
        </w:rPr>
        <w:t>La infraestructura de software de la Carrera comprende los siguientes sistemas:</w:t>
      </w:r>
    </w:p>
    <w:p>
      <w:pPr>
        <w:numPr>
          <w:ilvl w:val="0"/>
          <w:numId w:val="901"/>
        </w:numPr>
        <w:spacing w:before="0" w:after="160" w:line="240" w:lineRule="auto"/>
        <w:jc w:val="both"/>
      </w:pPr>
      <w:r>
        <w:rPr>
          <w:rFonts w:ascii="Century Gothic" w:hAnsi="Century Gothic" w:cs="Century Gothic" w:eastAsia="Century Gothic"/>
          <w:b/>
          <w:i w:val="0"/>
          <w:sz w:val="20"/>
        </w:rPr>
        <w:t>Servidores.</w:t>
      </w:r>
      <w:r>
        <w:rPr>
          <w:rFonts w:ascii="Century Gothic" w:hAnsi="Century Gothic" w:cs="Century Gothic" w:eastAsia="Century Gothic"/>
          <w:b w:val="0"/>
          <w:i w:val="0"/>
          <w:sz w:val="20"/>
        </w:rPr>
        <w:t xml:space="preserve"> Dos servidores propios, instalados en el pool de servidores de la UMSA, que garantiza disponibilidad y funcionamiento continuo con respaldo de baterías durante los cortes de energía.</w:t>
      </w:r>
    </w:p>
    <w:p>
      <w:pPr>
        <w:numPr>
          <w:ilvl w:val="0"/>
          <w:numId w:val="901"/>
        </w:numPr>
        <w:spacing w:before="0" w:after="160" w:line="240" w:lineRule="auto"/>
        <w:jc w:val="both"/>
      </w:pPr>
      <w:r>
        <w:rPr>
          <w:rFonts w:ascii="Century Gothic" w:hAnsi="Century Gothic" w:cs="Century Gothic" w:eastAsia="Century Gothic"/>
          <w:b/>
          <w:i w:val="0"/>
          <w:sz w:val="20"/>
        </w:rPr>
        <w:t>Sistema de Seguimiento Académico.</w:t>
      </w:r>
      <w:r>
        <w:rPr>
          <w:rFonts w:ascii="Century Gothic" w:hAnsi="Century Gothic" w:cs="Century Gothic" w:eastAsia="Century Gothic"/>
          <w:b w:val="0"/>
          <w:i w:val="0"/>
          <w:sz w:val="20"/>
        </w:rPr>
        <w:t xml:space="preserve"> Registra el avance y el rendimiento de los estudiantes y será la base del sistema de alerta temprana del punto 5.3.5.</w:t>
      </w:r>
    </w:p>
    <w:p>
      <w:pPr>
        <w:numPr>
          <w:ilvl w:val="0"/>
          <w:numId w:val="901"/>
        </w:numPr>
        <w:spacing w:before="0" w:after="160" w:line="240" w:lineRule="auto"/>
        <w:jc w:val="both"/>
      </w:pPr>
      <w:r>
        <w:rPr>
          <w:rFonts w:ascii="Century Gothic" w:hAnsi="Century Gothic" w:cs="Century Gothic" w:eastAsia="Century Gothic"/>
          <w:b/>
          <w:i w:val="0"/>
          <w:sz w:val="20"/>
        </w:rPr>
        <w:t>Plataforma virtual.</w:t>
      </w:r>
      <w:r>
        <w:rPr>
          <w:rFonts w:ascii="Century Gothic" w:hAnsi="Century Gothic" w:cs="Century Gothic" w:eastAsia="Century Gothic"/>
          <w:b w:val="0"/>
          <w:i w:val="0"/>
          <w:sz w:val="20"/>
        </w:rPr>
        <w:t xml:space="preserve"> Permite publicar recursos, recibir tareas y tomar controles de lectura y evaluaciones en línea.</w:t>
      </w:r>
    </w:p>
    <w:p>
      <w:pPr>
        <w:numPr>
          <w:ilvl w:val="0"/>
          <w:numId w:val="901"/>
        </w:numPr>
        <w:spacing w:before="0" w:after="160" w:line="240" w:lineRule="auto"/>
        <w:jc w:val="both"/>
      </w:pPr>
      <w:r>
        <w:rPr>
          <w:rFonts w:ascii="Century Gothic" w:hAnsi="Century Gothic" w:cs="Century Gothic" w:eastAsia="Century Gothic"/>
          <w:b/>
          <w:i w:val="0"/>
          <w:sz w:val="20"/>
        </w:rPr>
        <w:t>Control de asistencia docente.</w:t>
      </w:r>
      <w:r>
        <w:rPr>
          <w:rFonts w:ascii="Century Gothic" w:hAnsi="Century Gothic" w:cs="Century Gothic" w:eastAsia="Century Gothic"/>
          <w:b w:val="0"/>
          <w:i w:val="0"/>
          <w:sz w:val="20"/>
        </w:rPr>
        <w:t xml:space="preserve"> Sistema biométrico instalado en los edificios de la Av. Villazón y de la Av. Montes.</w:t>
      </w:r>
    </w:p>
    <w:p>
      <w:pPr>
        <w:numPr>
          <w:ilvl w:val="0"/>
          <w:numId w:val="901"/>
        </w:numPr>
        <w:spacing w:before="0" w:after="200" w:line="240" w:lineRule="auto"/>
        <w:jc w:val="both"/>
      </w:pPr>
      <w:r>
        <w:rPr>
          <w:rFonts w:ascii="Century Gothic" w:hAnsi="Century Gothic" w:cs="Century Gothic" w:eastAsia="Century Gothic"/>
          <w:b/>
          <w:i w:val="0"/>
          <w:sz w:val="20"/>
        </w:rPr>
        <w:t>Software de los laboratorios.</w:t>
      </w:r>
      <w:r>
        <w:rPr>
          <w:rFonts w:ascii="Century Gothic" w:hAnsi="Century Gothic" w:cs="Century Gothic" w:eastAsia="Century Gothic"/>
          <w:b w:val="0"/>
          <w:i w:val="0"/>
          <w:sz w:val="20"/>
        </w:rPr>
        <w:t xml:space="preserve"> Ofimática, programación, bases de datos, estadística, módulos contables y aplicativos tributarios, detallados en el punto 10.8.</w:t>
      </w:r>
    </w:p>
    <w:p>
      <w:pPr>
        <w:spacing w:before="0" w:after="200" w:line="240" w:lineRule="auto"/>
        <w:jc w:val="both"/>
      </w:pPr>
      <w:r>
        <w:rPr>
          <w:rFonts w:ascii="Century Gothic" w:hAnsi="Century Gothic" w:cs="Century Gothic" w:eastAsia="Century Gothic"/>
          <w:b w:val="0"/>
          <w:i w:val="0"/>
          <w:sz w:val="20"/>
        </w:rPr>
        <w:t>Los requerimientos de software del Plan 2027, como los sistemas ERP, las herramientas de auditoría asistida por computadora y el análisis de datos, se presentan en el Cuadro 3 del punto 10 y en el Cuadro 6 del punto 11.</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14.9.1</w:t>
        <w:tab/>
      </w:r>
      <w:r>
        <w:rPr>
          <w:rFonts w:ascii="Century Gothic" w:hAnsi="Century Gothic" w:cs="Century Gothic" w:eastAsia="Century Gothic"/>
          <w:b/>
          <w:i w:val="0"/>
          <w:sz w:val="22"/>
        </w:rPr>
        <w:t>Valoración de la infraestructura</w:t>
      </w:r>
    </w:p>
    <w:p>
      <w:pPr>
        <w:spacing w:before="0" w:after="200" w:line="240" w:lineRule="auto"/>
        <w:jc w:val="both"/>
      </w:pPr>
      <w:r>
        <w:rPr>
          <w:rFonts w:ascii="Century Gothic" w:hAnsi="Century Gothic" w:cs="Century Gothic" w:eastAsia="Century Gothic"/>
          <w:b w:val="0"/>
          <w:i w:val="0"/>
          <w:sz w:val="20"/>
        </w:rPr>
        <w:t>Frente a 4.283 estudiantes matriculados y 3.143 inscritos, la infraestructura de la Carrera es insuficiente: las aulas de los primeros años están saturadas, los laboratorios atienden simultáneamente a 106 estudiantes, la sala de lectura ofrece 90 plazas y la sala de docentes, 18. La dispersión entre dos sedes genera traslados entre clases. Por ello, además de las medidas de corto y mediano plazo del punto 11.1.4, la Carrera retoma la gestión de un edificio propio y centralizado como requerimiento de largo plazo.</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