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Disposiciones de Ejecución</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16.</w:t>
        <w:tab/>
      </w:r>
      <w:r>
        <w:rPr>
          <w:rFonts w:ascii="Century Gothic" w:hAnsi="Century Gothic" w:cs="Century Gothic" w:eastAsia="Century Gothic"/>
          <w:b/>
          <w:i w:val="0"/>
          <w:sz w:val="24"/>
        </w:rPr>
        <w:t>Disposiciones de ejecución</w:t>
      </w:r>
    </w:p>
    <w:p>
      <w:pPr>
        <w:spacing w:before="0" w:after="200" w:line="240" w:lineRule="auto"/>
        <w:jc w:val="both"/>
      </w:pPr>
      <w:r>
        <w:rPr>
          <w:rFonts w:ascii="Century Gothic" w:hAnsi="Century Gothic" w:cs="Century Gothic" w:eastAsia="Century Gothic"/>
          <w:b w:val="0"/>
          <w:i w:val="0"/>
          <w:sz w:val="20"/>
        </w:rPr>
        <w:t>Este punto establece las reglas para el tránsito del Plan de Estudios 2013, aprobado mediante las Resoluciones HCC N.º 162/2012, HCF N.º 929/2012 y HCU N.º 025/2013, al Plan de Estudios 2027: el cuadro de convalidación y homologación de asignaturas para estudiantes y docentes, el plan de implementación y la política de extinción del plan anterior.</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16.1</w:t>
        <w:tab/>
      </w:r>
      <w:r>
        <w:rPr>
          <w:rFonts w:ascii="Century Gothic" w:hAnsi="Century Gothic" w:cs="Century Gothic" w:eastAsia="Century Gothic"/>
          <w:b/>
          <w:i w:val="0"/>
          <w:sz w:val="24"/>
        </w:rPr>
        <w:t>Cuadro de convalidación y homologación</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16.1.1</w:t>
        <w:tab/>
      </w:r>
      <w:r>
        <w:rPr>
          <w:rFonts w:ascii="Century Gothic" w:hAnsi="Century Gothic" w:cs="Century Gothic" w:eastAsia="Century Gothic"/>
          <w:b/>
          <w:i w:val="0"/>
          <w:sz w:val="22"/>
        </w:rPr>
        <w:t>Principios de la transición curricular</w:t>
      </w:r>
    </w:p>
    <w:p>
      <w:pPr>
        <w:numPr>
          <w:ilvl w:val="0"/>
          <w:numId w:val="901"/>
        </w:numPr>
        <w:spacing w:before="0" w:after="160" w:line="240" w:lineRule="auto"/>
        <w:jc w:val="both"/>
      </w:pPr>
      <w:r>
        <w:rPr>
          <w:rFonts w:ascii="Century Gothic" w:hAnsi="Century Gothic" w:cs="Century Gothic" w:eastAsia="Century Gothic"/>
          <w:b/>
          <w:i w:val="0"/>
          <w:sz w:val="20"/>
        </w:rPr>
        <w:t>Transitabilidad y no perjuicio.</w:t>
      </w:r>
      <w:r>
        <w:rPr>
          <w:rFonts w:ascii="Century Gothic" w:hAnsi="Century Gothic" w:cs="Century Gothic" w:eastAsia="Century Gothic"/>
          <w:b w:val="0"/>
          <w:i w:val="0"/>
          <w:sz w:val="20"/>
        </w:rPr>
        <w:t xml:space="preserve"> El paso de un plan a otro no afecta los estudios cursados, las asignaturas aprobadas, el avance académico ni el tiempo de titulación de los estudiantes.</w:t>
      </w:r>
    </w:p>
    <w:p>
      <w:pPr>
        <w:numPr>
          <w:ilvl w:val="0"/>
          <w:numId w:val="901"/>
        </w:numPr>
        <w:spacing w:before="0" w:after="160" w:line="240" w:lineRule="auto"/>
        <w:jc w:val="both"/>
      </w:pPr>
      <w:r>
        <w:rPr>
          <w:rFonts w:ascii="Century Gothic" w:hAnsi="Century Gothic" w:cs="Century Gothic" w:eastAsia="Century Gothic"/>
          <w:b/>
          <w:i w:val="0"/>
          <w:sz w:val="20"/>
        </w:rPr>
        <w:t>Respeto a los derechos adquiridos de los estudiantes.</w:t>
      </w:r>
      <w:r>
        <w:rPr>
          <w:rFonts w:ascii="Century Gothic" w:hAnsi="Century Gothic" w:cs="Century Gothic" w:eastAsia="Century Gothic"/>
          <w:b w:val="0"/>
          <w:i w:val="0"/>
          <w:sz w:val="20"/>
        </w:rPr>
        <w:t xml:space="preserve"> Toda asignatura aprobada en el Plan 2013 conserva su validez y se reconoce en el Plan 2027 mediante homologación o convalidación.</w:t>
      </w:r>
    </w:p>
    <w:p>
      <w:pPr>
        <w:numPr>
          <w:ilvl w:val="0"/>
          <w:numId w:val="901"/>
        </w:numPr>
        <w:spacing w:before="0" w:after="160" w:line="240" w:lineRule="auto"/>
        <w:jc w:val="both"/>
      </w:pPr>
      <w:r>
        <w:rPr>
          <w:rFonts w:ascii="Century Gothic" w:hAnsi="Century Gothic" w:cs="Century Gothic" w:eastAsia="Century Gothic"/>
          <w:b/>
          <w:i w:val="0"/>
          <w:sz w:val="20"/>
        </w:rPr>
        <w:t>Respeto a los derechos adquiridos de los docentes.</w:t>
      </w:r>
      <w:r>
        <w:rPr>
          <w:rFonts w:ascii="Century Gothic" w:hAnsi="Century Gothic" w:cs="Century Gothic" w:eastAsia="Century Gothic"/>
          <w:b w:val="0"/>
          <w:i w:val="0"/>
          <w:sz w:val="20"/>
        </w:rPr>
        <w:t xml:space="preserve"> Se garantiza la titularidad obtenida por concurso de méritos y examen de competencia en el Plan 2013, con la asignación de la cátedra equivalente en el Plan 2027.</w:t>
      </w:r>
    </w:p>
    <w:p>
      <w:pPr>
        <w:numPr>
          <w:ilvl w:val="0"/>
          <w:numId w:val="901"/>
        </w:numPr>
        <w:spacing w:before="0" w:after="200" w:line="240" w:lineRule="auto"/>
        <w:jc w:val="both"/>
      </w:pPr>
      <w:r>
        <w:rPr>
          <w:rFonts w:ascii="Century Gothic" w:hAnsi="Century Gothic" w:cs="Century Gothic" w:eastAsia="Century Gothic"/>
          <w:b/>
          <w:i w:val="0"/>
          <w:sz w:val="20"/>
        </w:rPr>
        <w:t>Implantación gradual.</w:t>
      </w:r>
      <w:r>
        <w:rPr>
          <w:rFonts w:ascii="Century Gothic" w:hAnsi="Century Gothic" w:cs="Century Gothic" w:eastAsia="Century Gothic"/>
          <w:b w:val="0"/>
          <w:i w:val="0"/>
          <w:sz w:val="20"/>
        </w:rPr>
        <w:t xml:space="preserve"> El Plan 2027 se aplica año por año desde 2027, y el Plan 2013 se extingue de forma progresiva conforme al punto 16.3.</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16.1.2</w:t>
        <w:tab/>
      </w:r>
      <w:r>
        <w:rPr>
          <w:rFonts w:ascii="Century Gothic" w:hAnsi="Century Gothic" w:cs="Century Gothic" w:eastAsia="Century Gothic"/>
          <w:b/>
          <w:i w:val="0"/>
          <w:sz w:val="22"/>
        </w:rPr>
        <w:t>Mecanismos de reconocimiento</w:t>
      </w:r>
    </w:p>
    <w:p>
      <w:pPr>
        <w:numPr>
          <w:ilvl w:val="0"/>
          <w:numId w:val="902"/>
        </w:numPr>
        <w:spacing w:before="0" w:after="160" w:line="240" w:lineRule="auto"/>
        <w:jc w:val="both"/>
      </w:pPr>
      <w:r>
        <w:rPr>
          <w:rFonts w:ascii="Century Gothic" w:hAnsi="Century Gothic" w:cs="Century Gothic" w:eastAsia="Century Gothic"/>
          <w:b/>
          <w:i w:val="0"/>
          <w:sz w:val="20"/>
        </w:rPr>
        <w:t>Homologación.</w:t>
      </w:r>
      <w:r>
        <w:rPr>
          <w:rFonts w:ascii="Century Gothic" w:hAnsi="Century Gothic" w:cs="Century Gothic" w:eastAsia="Century Gothic"/>
          <w:b w:val="0"/>
          <w:i w:val="0"/>
          <w:sz w:val="20"/>
        </w:rPr>
        <w:t xml:space="preserve"> Se aplica cuando la asignatura del nuevo plan mantiene los contenidos básicos y la carga horaria, con cambios solo en la denominación, la sigla o el año de ubicación. Es automática y no requiere trámite del estudiante.</w:t>
      </w:r>
    </w:p>
    <w:p>
      <w:pPr>
        <w:numPr>
          <w:ilvl w:val="0"/>
          <w:numId w:val="902"/>
        </w:numPr>
        <w:spacing w:before="0" w:after="160" w:line="240" w:lineRule="auto"/>
        <w:jc w:val="both"/>
      </w:pPr>
      <w:r>
        <w:rPr>
          <w:rFonts w:ascii="Century Gothic" w:hAnsi="Century Gothic" w:cs="Century Gothic" w:eastAsia="Century Gothic"/>
          <w:b/>
          <w:i w:val="0"/>
          <w:sz w:val="20"/>
        </w:rPr>
        <w:t>Convalidación.</w:t>
      </w:r>
      <w:r>
        <w:rPr>
          <w:rFonts w:ascii="Century Gothic" w:hAnsi="Century Gothic" w:cs="Century Gothic" w:eastAsia="Century Gothic"/>
          <w:b w:val="0"/>
          <w:i w:val="0"/>
          <w:sz w:val="20"/>
        </w:rPr>
        <w:t xml:space="preserve"> Se aplica cuando la asignatura del nuevo plan incorpora contenidos tecnológicos o normativos actualizados, o cambia su enfoque metodológico, manteniendo una similitud de contenidos de al menos el 70 %, conforme al punto 5.3.2. La Comisión de Convalidaciones de la Carrera verifica la equivalencia.</w:t>
      </w:r>
    </w:p>
    <w:p>
      <w:pPr>
        <w:numPr>
          <w:ilvl w:val="0"/>
          <w:numId w:val="902"/>
        </w:numPr>
        <w:spacing w:before="0" w:after="200" w:line="240" w:lineRule="auto"/>
        <w:jc w:val="both"/>
      </w:pPr>
      <w:r>
        <w:rPr>
          <w:rFonts w:ascii="Century Gothic" w:hAnsi="Century Gothic" w:cs="Century Gothic" w:eastAsia="Century Gothic"/>
          <w:b/>
          <w:i w:val="0"/>
          <w:sz w:val="20"/>
        </w:rPr>
        <w:t>Compensación.</w:t>
      </w:r>
      <w:r>
        <w:rPr>
          <w:rFonts w:ascii="Century Gothic" w:hAnsi="Century Gothic" w:cs="Century Gothic" w:eastAsia="Century Gothic"/>
          <w:b w:val="0"/>
          <w:i w:val="0"/>
          <w:sz w:val="20"/>
        </w:rPr>
        <w:t xml:space="preserve"> Se aplica cuando la carga horaria de una cátedra varía entre ambos planes. Al docente titular se le asignan horas equivalentes en investigación, interacción social, tutoría o coordinación de prácticas, sin afectar sus derechos.</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16.1.3</w:t>
        <w:tab/>
      </w:r>
      <w:r>
        <w:rPr>
          <w:rFonts w:ascii="Century Gothic" w:hAnsi="Century Gothic" w:cs="Century Gothic" w:eastAsia="Century Gothic"/>
          <w:b/>
          <w:i w:val="0"/>
          <w:sz w:val="22"/>
        </w:rPr>
        <w:t>Cuadro de equivalencias entre el Plan 2013 y el Plan 2027</w:t>
      </w:r>
    </w:p>
    <w:p>
      <w:pPr>
        <w:spacing w:before="0" w:after="200" w:line="240" w:lineRule="auto"/>
        <w:jc w:val="both"/>
      </w:pPr>
      <w:r>
        <w:rPr>
          <w:rFonts w:ascii="Century Gothic" w:hAnsi="Century Gothic" w:cs="Century Gothic" w:eastAsia="Century Gothic"/>
          <w:b w:val="0"/>
          <w:i w:val="0"/>
          <w:sz w:val="20"/>
        </w:rPr>
        <w:t>El siguiente cuadro rige para los estudiantes, que obtienen el reconocimiento de las asignaturas aprobadas, y para los docentes titulares, que obtienen la homologación de su cátedra en la asignatura equivalente. Las 43 asignaturas del Plan 2013 tienen equivalente en el Plan 2027:</w:t>
      </w:r>
    </w:p>
    <w:p>
      <w:pPr>
        <w:keepNext/>
        <w:spacing w:before="40" w:after="80" w:line="240" w:lineRule="auto"/>
        <w:jc w:val="center"/>
      </w:pPr>
      <w:r>
        <w:rPr>
          <w:rFonts w:ascii="Century Gothic" w:hAnsi="Century Gothic" w:cs="Century Gothic" w:eastAsia="Century Gothic"/>
          <w:b/>
          <w:i w:val="0"/>
          <w:sz w:val="20"/>
        </w:rPr>
        <w:t>Cuadro 1. Equivalencias entre el Plan de Estudios 2013 y el Plan de Estudios 2027</w:t>
      </w:r>
    </w:p>
    <w:tbl>
      <w:tblPr>
        <w:tblW w:type="auto" w:w="0"/>
        <w:jc w:val="center"/>
        <w:tblLayout w:type="fixed"/>
        <w:tblLook w:firstColumn="1" w:firstRow="1" w:lastColumn="0" w:lastRow="0" w:noHBand="0" w:noVBand="1" w:val="04A0"/>
      </w:tblPr>
      <w:tblGrid>
        <w:gridCol w:w="3175"/>
        <w:gridCol w:w="3458"/>
        <w:gridCol w:w="2438"/>
      </w:tblGrid>
      <w:tr>
        <w:trPr>
          <w:tblHeader/>
        </w:trPr>
        <w:tc>
          <w:tcPr>
            <w:tcW w:type="dxa" w:w="317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Asignatura del Plan 2013</w:t>
            </w:r>
          </w:p>
        </w:tc>
        <w:tc>
          <w:tcPr>
            <w:tcW w:type="dxa" w:w="345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Asignatura equivalente del Plan 2027</w:t>
            </w:r>
          </w:p>
        </w:tc>
        <w:tc>
          <w:tcPr>
            <w:tcW w:type="dxa" w:w="243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Mecanismo</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8"/>
              </w:rPr>
              <w:t>Primer año</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CPA-101 Contabilidad Básica</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CPA-101 Contabilidad Básica</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directa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CPA-102 Métodos y Técnicas de Investigación</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CPA-204 Métodos y Técnicas de Investigación</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por cambio de nivel</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ADM-101 Administración General</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ADM-101 Administración General</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directa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DER-101 Derecho Comercial y Corporativo</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DER-101 Derecho Comercial y Corporativo</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directa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DER-102 Derecho Laboral y de Seguridad Social</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DER-102 Derecho Laboral y Seguridad Social</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directa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ECO-101 Microeconomía</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ECO-101 Microeconomía</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directa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MAT-101 Cálculo</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MAT-101 Cálculo</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directa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MAT-102 Matemáticas Financieras</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MAT-102 Matemáticas Financieras</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directa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8"/>
              </w:rPr>
              <w:t>Segundo año</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CPA-201 Contabilidad Intermedia</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CPA-201 Contabilidad Intermedia</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directa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CPA-202 Contabilidad de Sociedades</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CPA-202 Contabilidad de Sociedades</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directa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CPA-203 Contabilidad de Tributos</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CPA-203 Contabilidad de Tributos</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directa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ADM-201 Administración de Sistemas Gerenciales</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ADM-201 Administración de Sistemas Gerenciales</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directa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DER-201 Derecho Tributario y Legislación Aduanera</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DER-201 Derecho Tributario y Legislación Aduanera</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directa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ECO-201 Macroeconomía</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ECO-201 Macroeconomía</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directa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MAT-201 Álgebra y Programación Lineales</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MAT-201 Álgebra Lineal y Programación Operativa Aplicada a los Negocios</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Convalidación</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8"/>
              </w:rPr>
              <w:t>Tercer año</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CPA-301 Contabilidad Internacional</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CPA-301 Contabilidad Internacional</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directa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CPA-302 Contabilidad de Costos y Gestión</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CPA-302 Contabilidad de Costos y Gestión</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directa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CPA-303 Contabilidad de Bancos y Entidades Financieras</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CPA-303 Contabilidad de Bancos y Entidades Financieras</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directa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CPA-304 Contabilidad y Presupuesto Gubernamental</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CPA-304 Contabilidad y Presupuestos Gubernamental</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directa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CPA-305 Sistemas de Información</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CPA-102 Tecnologías de Información y Herramientas Digitales</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Convalidación con actualización tecnológica y cambio de nivel</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ADM-301 Desarrollo Organizacional y Comportamiento Organizacional</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ADM-301 Desarrollo Organizacional y Comportamiento Organizacional</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directa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ECO-301 Preparación y Evaluación de Proyectos</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ECO-301 Preparación y Evaluación de Proyectos</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directa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MAT-301 Estadística</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MAT-301 Estadística</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directa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MAT-302 Matemáticas Actuariales</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MAT-401 Matemáticas Actuariales y Técnicas Financieras</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por cambio de nivel</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8"/>
              </w:rPr>
              <w:t>Cuarto año</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CPA-401 Contabilidad Minera y Petrolera</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CPA-401 Contabilidad Minera y Petrolera</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directa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CPA-402 Contabilidad Agrícola y Ganadera</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CPA-402 Contabilidad Agrícola y Ganadera</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directa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CPA-403 Contabilidad del Seguro Privado y Seguro Social</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CPA-403 Contabilidad de Seguros: Privado y Social</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directa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CPA-404 Sistemas de Contabilidad Automatizados</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CPA-305 Sistemas Contables ERP y Análisis de Datos</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Convalidación con actualización tecnológica y cambio de nivel</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CPA-405 Diseño e Implantación de Sistemas de Contabilidad</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CPA-404 Diseño e Implantación de Sistemas de Contabilidad</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directa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CPA-406 Finanzas y Finanzas Corporativas</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CPA-405 Finanzas Corporativas</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directa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CPA-407 Auditoría Financiera</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CPA-407 Auditoría Financiera</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directa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CPA-408 Auditoría Interna, Control Interno y Gestión de Riesgos</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CPA-408 Auditoría Interna, Control Interno y Gestión de Riesgos</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directa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8"/>
              </w:rPr>
              <w:t>Quinto año</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CPA-501 Auditoría Operativa</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CPA-501 Auditoría Operativa</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directa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CPA-502 Gabinete de Auditoría Financiera</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CPA-502 Gabinete de Auditoría Financiera</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directa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CPA-503 Gabinete de Auditoría Tributaria</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CPA-503 Auditoría Tributaria</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directa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CPA-504 Gabinete de Auditoría Gubernamental</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CPA-504 Auditoría Gubernamental</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directa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CPA-505 Gabinete de Auditoría de Sistemas</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CPA-505 Auditoría Digital, Ciberseguridad y Tecnologías Emergentes</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Convalidación con actualización tecnológica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CPA-506 Gabinete de Auditoría Ambiental</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CPA-506 Reportes y Aseguramiento de Sostenibilidad y Auditoría Ambiental</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Convalidación con actualización normativa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CPA-507 Gabinete de Auditoría de Proyectos</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CPA-507 Auditoría de Proyectos Públicos y Privados</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directa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CPA-508 Gabinete de Auditoría Forense</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CPA-508 Auditoría Forense, Peritaje y Prevención de Delitos Económicos</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con actualización de contenidos</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CPA-509 Gabinete de Auditoría de Entidades Financieras</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CPA-509 Auditoría de Entidades Financieras y Servicios Relacionados</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directa</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CPA-510 Ética Profesional</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CPA-406 Ética e Independencia Profesional</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por cambio de nivel</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CPA-511 Seminario de Grado</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CPA-510 Taller de Grado</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directa</w:t>
            </w:r>
          </w:p>
        </w:tc>
      </w:tr>
    </w:tbl>
    <w:p>
      <w:pPr>
        <w:spacing w:before="40" w:after="200" w:line="240" w:lineRule="auto"/>
        <w:jc w:val="left"/>
      </w:pPr>
      <w:r>
        <w:rPr>
          <w:rFonts w:ascii="Century Gothic" w:hAnsi="Century Gothic" w:cs="Century Gothic" w:eastAsia="Century Gothic"/>
          <w:b w:val="0"/>
          <w:i w:val="0"/>
          <w:sz w:val="16"/>
        </w:rPr>
        <w:t>Fuente: elaboración con base en la malla curricular 2027 y en la propuesta de equivalencias de la Carrera.</w:t>
      </w:r>
    </w:p>
    <w:p>
      <w:pPr>
        <w:spacing w:before="0" w:after="200" w:line="240" w:lineRule="auto"/>
        <w:jc w:val="both"/>
      </w:pPr>
      <w:r>
        <w:rPr>
          <w:rFonts w:ascii="Century Gothic" w:hAnsi="Century Gothic" w:cs="Century Gothic" w:eastAsia="Century Gothic"/>
          <w:b w:val="0"/>
          <w:i w:val="0"/>
          <w:sz w:val="20"/>
        </w:rPr>
        <w:t>De las 43 asignaturas, 34 se homologan directamente, 4 se homologan con cambio de nivel o actualización de contenidos y 5 se convalidan por la actualización tecnológica o normativa de sus contenidos: CPA-102, CPA-305, CPA-505, CPA-506 y MAT-201 del Plan 2027.</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16.1.4</w:t>
        <w:tab/>
      </w:r>
      <w:r>
        <w:rPr>
          <w:rFonts w:ascii="Century Gothic" w:hAnsi="Century Gothic" w:cs="Century Gothic" w:eastAsia="Century Gothic"/>
          <w:b/>
          <w:i w:val="0"/>
          <w:sz w:val="22"/>
        </w:rPr>
        <w:t>Disposiciones para estudiantes y docentes</w:t>
      </w:r>
    </w:p>
    <w:p>
      <w:pPr>
        <w:numPr>
          <w:ilvl w:val="0"/>
          <w:numId w:val="903"/>
        </w:numPr>
        <w:spacing w:before="0" w:after="160" w:line="240" w:lineRule="auto"/>
        <w:jc w:val="both"/>
      </w:pPr>
      <w:r>
        <w:rPr>
          <w:rFonts w:ascii="Century Gothic" w:hAnsi="Century Gothic" w:cs="Century Gothic" w:eastAsia="Century Gothic"/>
          <w:b w:val="0"/>
          <w:i w:val="0"/>
          <w:sz w:val="20"/>
        </w:rPr>
        <w:t>Las homologaciones se registran de oficio en el kárdex del estudiante; las convalidaciones se tramitan ante la Comisión de Convalidaciones, que se pronuncia en un plazo de 30 días calendario.</w:t>
      </w:r>
    </w:p>
    <w:p>
      <w:pPr>
        <w:numPr>
          <w:ilvl w:val="0"/>
          <w:numId w:val="903"/>
        </w:numPr>
        <w:spacing w:before="0" w:after="160" w:line="240" w:lineRule="auto"/>
        <w:jc w:val="both"/>
      </w:pPr>
      <w:r>
        <w:rPr>
          <w:rFonts w:ascii="Century Gothic" w:hAnsi="Century Gothic" w:cs="Century Gothic" w:eastAsia="Century Gothic"/>
          <w:b w:val="0"/>
          <w:i w:val="0"/>
          <w:sz w:val="20"/>
        </w:rPr>
        <w:t>El estudiante del Plan 2013 puede migrar voluntariamente al Plan 2027 en cualquier momento de la transición, con el reconocimiento de todas sus asignaturas aprobadas según el Cuadro 1. La migración es irreversible.</w:t>
      </w:r>
    </w:p>
    <w:p>
      <w:pPr>
        <w:numPr>
          <w:ilvl w:val="0"/>
          <w:numId w:val="903"/>
        </w:numPr>
        <w:spacing w:before="0" w:after="160" w:line="240" w:lineRule="auto"/>
        <w:jc w:val="both"/>
      </w:pPr>
      <w:r>
        <w:rPr>
          <w:rFonts w:ascii="Century Gothic" w:hAnsi="Century Gothic" w:cs="Century Gothic" w:eastAsia="Century Gothic"/>
          <w:b w:val="0"/>
          <w:i w:val="0"/>
          <w:sz w:val="20"/>
        </w:rPr>
        <w:t>Las asignaturas que cambian de año, como CPA-102, CPA-204, CPA-305, CPA-406 y MAT-401, se reconocen sin importar el año en que fueron aprobadas; el estudiante que migra cursa las asignaturas del Plan 2027 que no tienen equivalente aprobado, con sujeción a sus prerrequisitos.</w:t>
      </w:r>
    </w:p>
    <w:p>
      <w:pPr>
        <w:numPr>
          <w:ilvl w:val="0"/>
          <w:numId w:val="903"/>
        </w:numPr>
        <w:spacing w:before="0" w:after="200" w:line="240" w:lineRule="auto"/>
        <w:jc w:val="both"/>
      </w:pPr>
      <w:r>
        <w:rPr>
          <w:rFonts w:ascii="Century Gothic" w:hAnsi="Century Gothic" w:cs="Century Gothic" w:eastAsia="Century Gothic"/>
          <w:b w:val="0"/>
          <w:i w:val="0"/>
          <w:sz w:val="20"/>
        </w:rPr>
        <w:t>Los docentes titulares conservan su cátedra en la asignatura equivalente del Plan 2027. Cuando la carga horaria de la asignatura disminuye, la diferencia se compensa conforme al punto 16.1.2, y cuando el contenido se actualiza, el docente participa de forma obligatoria en el programa de actualización del punto 11.2.2.</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16.2</w:t>
        <w:tab/>
      </w:r>
      <w:r>
        <w:rPr>
          <w:rFonts w:ascii="Century Gothic" w:hAnsi="Century Gothic" w:cs="Century Gothic" w:eastAsia="Century Gothic"/>
          <w:b/>
          <w:i w:val="0"/>
          <w:sz w:val="24"/>
        </w:rPr>
        <w:t>Plan de implementación</w:t>
      </w:r>
    </w:p>
    <w:p>
      <w:pPr>
        <w:spacing w:before="0" w:after="200" w:line="240" w:lineRule="auto"/>
        <w:jc w:val="both"/>
      </w:pPr>
      <w:r>
        <w:rPr>
          <w:rFonts w:ascii="Century Gothic" w:hAnsi="Century Gothic" w:cs="Century Gothic" w:eastAsia="Century Gothic"/>
          <w:b w:val="0"/>
          <w:i w:val="0"/>
          <w:sz w:val="20"/>
        </w:rPr>
        <w:t>La implementación sigue las fases del punto 11.3.4 y se desarrolla año por año desde la primera cohorte:</w:t>
      </w:r>
    </w:p>
    <w:p>
      <w:pPr>
        <w:keepNext/>
        <w:spacing w:before="40" w:after="80" w:line="240" w:lineRule="auto"/>
        <w:jc w:val="center"/>
      </w:pPr>
      <w:r>
        <w:rPr>
          <w:rFonts w:ascii="Century Gothic" w:hAnsi="Century Gothic" w:cs="Century Gothic" w:eastAsia="Century Gothic"/>
          <w:b/>
          <w:i w:val="0"/>
          <w:sz w:val="20"/>
        </w:rPr>
        <w:t>Cuadro 2. Cronograma de implementación del Plan 2027</w:t>
      </w:r>
    </w:p>
    <w:tbl>
      <w:tblPr>
        <w:tblW w:type="auto" w:w="0"/>
        <w:jc w:val="center"/>
        <w:tblLayout w:type="fixed"/>
        <w:tblLook w:firstColumn="1" w:firstRow="1" w:lastColumn="0" w:lastRow="0" w:noHBand="0" w:noVBand="1" w:val="04A0"/>
      </w:tblPr>
      <w:tblGrid>
        <w:gridCol w:w="1020"/>
        <w:gridCol w:w="2608"/>
        <w:gridCol w:w="2268"/>
        <w:gridCol w:w="3175"/>
      </w:tblGrid>
      <w:tr>
        <w:trPr>
          <w:tblHeader/>
        </w:trPr>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Gestión</w:t>
            </w:r>
          </w:p>
        </w:tc>
        <w:tc>
          <w:tcPr>
            <w:tcW w:type="dxa" w:w="260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Plan de Estudios 2027</w:t>
            </w:r>
          </w:p>
        </w:tc>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Plan de Estudios 2013</w:t>
            </w:r>
          </w:p>
        </w:tc>
        <w:tc>
          <w:tcPr>
            <w:tcW w:type="dxa" w:w="317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Acciones de apoyo</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2026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Aprobación del plan por las instancias universitarias</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Vigente en todos los años; último ingreso de estudiantes</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Capacitación docente inicial; elaboración de los planes de asignatura de primer año; habilitación de laboratorios; convenios iniciales; encuesta a los titulados 2020 a 2025 como línea base</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2027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Inicio del primer año</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Cierre del ingreso de nuevos estudiantes; se dicta el primer año por última vez</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Complementación anual de los planes de asignatura; planes de asignatura de segundo año; aula virtual por asignatura y paralelo</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2028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Inicio del segundo año</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Extinción del primer año</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Primera evaluación de la implementación y ajustes; planes de asignatura de tercer año</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2029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Inicio del tercer año, con prácticas preprofesionales</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Extinción del segundo año</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Habilitación de la salida intermedia de Técnico Universitario Superior en Contabilidad General; planes de asignatura de cuarto año</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2030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Inicio del cuarto año</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Extinción del tercer año</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Segunda evaluación de la implementación; planes de asignatura de quinto año</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2031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Inicio del quinto año y del Taller de Grado CPA-510</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Extinción del cuarto y del quinto año; cierre de la enseñanza del Plan 2013</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Primera promoción del Plan 2027</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2032 en adelante</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Plan en régimen completo</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Graduación de los egresados del Plan 2013 en el plazo transitorio</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Evaluación de resultados con la primera promoción y seguimiento a titulados</w:t>
            </w:r>
          </w:p>
        </w:tc>
      </w:tr>
    </w:tbl>
    <w:p>
      <w:pPr>
        <w:spacing w:before="40" w:after="200" w:line="240" w:lineRule="auto"/>
        <w:jc w:val="left"/>
      </w:pPr>
      <w:r>
        <w:rPr>
          <w:rFonts w:ascii="Century Gothic" w:hAnsi="Century Gothic" w:cs="Century Gothic" w:eastAsia="Century Gothic"/>
          <w:b w:val="0"/>
          <w:i w:val="0"/>
          <w:sz w:val="16"/>
        </w:rPr>
        <w:t>Fuente: elaboración con base en los puntos 11.3.4 y 12.1.5.</w:t>
      </w:r>
    </w:p>
    <w:p>
      <w:pPr>
        <w:spacing w:before="0" w:after="200" w:line="240" w:lineRule="auto"/>
        <w:jc w:val="both"/>
      </w:pPr>
      <w:r>
        <w:rPr>
          <w:rFonts w:ascii="Century Gothic" w:hAnsi="Century Gothic" w:cs="Century Gothic" w:eastAsia="Century Gothic"/>
          <w:b w:val="0"/>
          <w:i w:val="0"/>
          <w:sz w:val="20"/>
        </w:rPr>
        <w:t>La Dirección de Carrera es responsable de la ejecución del plan de implementación, con el apoyo de la Comisión de Evaluación Curricular, la Comisión de Convalidaciones, la Unidad de Kárdex Académico, el Centro de Cómputo y las jefaturas de área. Antes de iniciar cada año del Plan 2027, el Honorable Consejo de Carrera aprueba los planes de asignatura de ese año y verifica la disponibilidad de docentes, ambientes y recursos.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16.3</w:t>
        <w:tab/>
      </w:r>
      <w:r>
        <w:rPr>
          <w:rFonts w:ascii="Century Gothic" w:hAnsi="Century Gothic" w:cs="Century Gothic" w:eastAsia="Century Gothic"/>
          <w:b/>
          <w:i w:val="0"/>
          <w:sz w:val="24"/>
        </w:rPr>
        <w:t>Política de extinción del plan de estudios</w:t>
      </w:r>
    </w:p>
    <w:p>
      <w:pPr>
        <w:spacing w:before="0" w:after="200" w:line="240" w:lineRule="auto"/>
        <w:jc w:val="both"/>
      </w:pPr>
      <w:r>
        <w:rPr>
          <w:rFonts w:ascii="Century Gothic" w:hAnsi="Century Gothic" w:cs="Century Gothic" w:eastAsia="Century Gothic"/>
          <w:b w:val="0"/>
          <w:i w:val="0"/>
          <w:sz w:val="20"/>
        </w:rPr>
        <w:t>La extinción del Plan 2013 se rige por las siguientes disposiciones:</w:t>
      </w:r>
    </w:p>
    <w:p>
      <w:pPr>
        <w:numPr>
          <w:ilvl w:val="0"/>
          <w:numId w:val="904"/>
        </w:numPr>
        <w:spacing w:before="0" w:after="160" w:line="240" w:lineRule="auto"/>
        <w:jc w:val="both"/>
      </w:pPr>
      <w:r>
        <w:rPr>
          <w:rFonts w:ascii="Century Gothic" w:hAnsi="Century Gothic" w:cs="Century Gothic" w:eastAsia="Century Gothic"/>
          <w:b w:val="0"/>
          <w:i w:val="0"/>
          <w:sz w:val="20"/>
        </w:rPr>
        <w:t>Desde la gestión 2027 no se admiten nuevos estudiantes en el Plan 2013.</w:t>
      </w:r>
    </w:p>
    <w:p>
      <w:pPr>
        <w:numPr>
          <w:ilvl w:val="0"/>
          <w:numId w:val="904"/>
        </w:numPr>
        <w:spacing w:before="0" w:after="160" w:line="240" w:lineRule="auto"/>
        <w:jc w:val="both"/>
      </w:pPr>
      <w:r>
        <w:rPr>
          <w:rFonts w:ascii="Century Gothic" w:hAnsi="Century Gothic" w:cs="Century Gothic" w:eastAsia="Century Gothic"/>
          <w:b w:val="0"/>
          <w:i w:val="0"/>
          <w:sz w:val="20"/>
        </w:rPr>
        <w:t>Cada año del Plan 2013 se extingue cuando el año equivalente del Plan 2027 ya está en funcionamiento, según el Cuadro 2, de modo que el estudiante siempre dispone de una asignatura equivalente para continuar sus estudios.</w:t>
      </w:r>
    </w:p>
    <w:p>
      <w:pPr>
        <w:numPr>
          <w:ilvl w:val="0"/>
          <w:numId w:val="904"/>
        </w:numPr>
        <w:spacing w:before="0" w:after="160" w:line="240" w:lineRule="auto"/>
        <w:jc w:val="both"/>
      </w:pPr>
      <w:r>
        <w:rPr>
          <w:rFonts w:ascii="Century Gothic" w:hAnsi="Century Gothic" w:cs="Century Gothic" w:eastAsia="Century Gothic"/>
          <w:b w:val="0"/>
          <w:i w:val="0"/>
          <w:sz w:val="20"/>
        </w:rPr>
        <w:t>El estudiante que repruebe o no haya cursado una asignatura del Plan 2013 después de su extinción la cursa en la asignatura equivalente del Plan 2027, con reconocimiento en su historial académico.</w:t>
      </w:r>
    </w:p>
    <w:p>
      <w:pPr>
        <w:numPr>
          <w:ilvl w:val="0"/>
          <w:numId w:val="904"/>
        </w:numPr>
        <w:spacing w:before="0" w:after="160" w:line="240" w:lineRule="auto"/>
        <w:jc w:val="both"/>
      </w:pPr>
      <w:r>
        <w:rPr>
          <w:rFonts w:ascii="Century Gothic" w:hAnsi="Century Gothic" w:cs="Century Gothic" w:eastAsia="Century Gothic"/>
          <w:b w:val="0"/>
          <w:i w:val="0"/>
          <w:sz w:val="20"/>
        </w:rPr>
        <w:t>Durante el año siguiente a la extinción de cada año del Plan 2013, la Carrera podrá habilitar cursos de temporada y mesas de examen de sus asignaturas para los estudiantes rezagados, conforme al punto 13.1.3.</w:t>
      </w:r>
    </w:p>
    <w:p>
      <w:pPr>
        <w:numPr>
          <w:ilvl w:val="0"/>
          <w:numId w:val="904"/>
        </w:numPr>
        <w:spacing w:before="0" w:after="160" w:line="240" w:lineRule="auto"/>
        <w:jc w:val="both"/>
      </w:pPr>
      <w:r>
        <w:rPr>
          <w:rFonts w:ascii="Century Gothic" w:hAnsi="Century Gothic" w:cs="Century Gothic" w:eastAsia="Century Gothic"/>
          <w:b w:val="0"/>
          <w:i w:val="0"/>
          <w:sz w:val="20"/>
        </w:rPr>
        <w:t>El estudiante que concluya el Plan 2013 dispone de un plazo de hasta tres años calendario desde su egreso para graduarse conforme a la reglamentación de ese plan. Vencido el plazo, se gradúa mediante las modalidades del Plan 2027 o el PETAENG, conforme al punto 13.1.4.</w:t>
      </w:r>
    </w:p>
    <w:p>
      <w:pPr>
        <w:numPr>
          <w:ilvl w:val="0"/>
          <w:numId w:val="904"/>
        </w:numPr>
        <w:spacing w:before="0" w:after="160" w:line="240" w:lineRule="auto"/>
        <w:jc w:val="both"/>
      </w:pPr>
      <w:r>
        <w:rPr>
          <w:rFonts w:ascii="Century Gothic" w:hAnsi="Century Gothic" w:cs="Century Gothic" w:eastAsia="Century Gothic"/>
          <w:b w:val="0"/>
          <w:i w:val="0"/>
          <w:sz w:val="20"/>
        </w:rPr>
        <w:t>La Unidad de Kárdex Académico conserva los historiales, las actas y los expedientes del Plan 2013 conforme al punto 15.4, y el Sistema de Seguimiento Académico mantiene su registro para la emisión de certificados.</w:t>
      </w:r>
    </w:p>
    <w:p>
      <w:pPr>
        <w:numPr>
          <w:ilvl w:val="0"/>
          <w:numId w:val="904"/>
        </w:numPr>
        <w:spacing w:before="0" w:after="200" w:line="240" w:lineRule="auto"/>
        <w:jc w:val="both"/>
      </w:pPr>
      <w:r>
        <w:rPr>
          <w:rFonts w:ascii="Century Gothic" w:hAnsi="Century Gothic" w:cs="Century Gothic" w:eastAsia="Century Gothic"/>
          <w:b w:val="0"/>
          <w:i w:val="0"/>
          <w:sz w:val="20"/>
        </w:rPr>
        <w:t>Concluido el plazo de graduación transitorio, el Honorable Consejo de Carrera declara la extinción definitiva del Plan 2013 e informa a las instancias universitarias.</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0"/>
    <w:lvlOverride w:ilvl="0">
      <w:startOverride w:val="1"/>
    </w:lvlOverride>
  </w:num>
  <w:num w:numId="902">
    <w:abstractNumId w:val="900"/>
    <w:lvlOverride w:ilvl="0">
      <w:startOverride w:val="1"/>
    </w:lvlOverride>
  </w:num>
  <w:num w:numId="903">
    <w:abstractNumId w:val="902"/>
    <w:lvlOverride w:ilvl="0">
      <w:startOverride w:val="1"/>
    </w:lvlOverride>
  </w:num>
  <w:num w:numId="904">
    <w:abstractNumId w:val="9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