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Aspectos Académicos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4.2</w:t>
        <w:tab/>
      </w:r>
      <w:r>
        <w:rPr>
          <w:rFonts w:ascii="Century Gothic" w:hAnsi="Century Gothic" w:cs="Century Gothic" w:eastAsia="Century Gothic"/>
          <w:b/>
          <w:i w:val="0"/>
          <w:sz w:val="24"/>
        </w:rPr>
        <w:t>Referentes disciplinares</w:t>
      </w:r>
    </w:p>
    <w:p>
      <w:pPr>
        <w:spacing w:before="0" w:after="200" w:line="240" w:lineRule="auto"/>
        <w:jc w:val="both"/>
      </w:pPr>
      <w:r>
        <w:rPr>
          <w:rFonts w:ascii="Century Gothic" w:hAnsi="Century Gothic" w:cs="Century Gothic" w:eastAsia="Century Gothic"/>
          <w:b w:val="0"/>
          <w:i w:val="0"/>
          <w:sz w:val="20"/>
        </w:rPr>
        <w:t>Los referentes disciplinares fundamentan académica, científica y profesionalmente el perfil del Contador Público Autorizado desde los problemas que aborda la profesión, su prospectiva, la caracterización de su práctica, su objeto, sus objetivos y sus competencias, conforme al Artículo 12 de la Resolución HCU N.º 032/2025, que exige establecer con claridad el objeto y el objetivo de la profesión, identificar sus funciones y tareas y responder en el perfil a las necesidades identificadas en la justificación.</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4.2.1</w:t>
        <w:tab/>
      </w:r>
      <w:r>
        <w:rPr>
          <w:rFonts w:ascii="Century Gothic" w:hAnsi="Century Gothic" w:cs="Century Gothic" w:eastAsia="Century Gothic"/>
          <w:b/>
          <w:i w:val="0"/>
          <w:sz w:val="22"/>
        </w:rPr>
        <w:t>Problemas que serán abordados por el profesional</w:t>
      </w:r>
    </w:p>
    <w:p>
      <w:pPr>
        <w:spacing w:before="0" w:after="200" w:line="240" w:lineRule="auto"/>
        <w:jc w:val="both"/>
      </w:pPr>
      <w:r>
        <w:rPr>
          <w:rFonts w:ascii="Century Gothic" w:hAnsi="Century Gothic" w:cs="Century Gothic" w:eastAsia="Century Gothic"/>
          <w:b w:val="0"/>
          <w:i w:val="0"/>
          <w:sz w:val="20"/>
        </w:rPr>
        <w:t>El Contador Público Autorizado formado en la UMSA enfrentará las siguientes problemáticas organizacionales y sociales:</w:t>
      </w:r>
    </w:p>
    <w:p>
      <w:pPr>
        <w:numPr>
          <w:ilvl w:val="0"/>
          <w:numId w:val="901"/>
        </w:numPr>
        <w:spacing w:before="0" w:after="160" w:line="240" w:lineRule="auto"/>
        <w:jc w:val="both"/>
      </w:pPr>
      <w:r>
        <w:rPr>
          <w:rFonts w:ascii="Century Gothic" w:hAnsi="Century Gothic" w:cs="Century Gothic" w:eastAsia="Century Gothic"/>
          <w:b/>
          <w:i w:val="0"/>
          <w:sz w:val="20"/>
        </w:rPr>
        <w:t>Transformación tecnológica y automatización.</w:t>
      </w:r>
      <w:r>
        <w:rPr>
          <w:rFonts w:ascii="Century Gothic" w:hAnsi="Century Gothic" w:cs="Century Gothic" w:eastAsia="Century Gothic"/>
          <w:b w:val="0"/>
          <w:i w:val="0"/>
          <w:sz w:val="20"/>
        </w:rPr>
        <w:t xml:space="preserve"> Superación de la brecha tecnológica de los egresados, de 43 a 51 puntos porcentuales, mediante la transición del registro manual hacia la auditoría digital, la automatización robótica de procesos, los sistemas de gestión empresarial y el análisis predictivo de datos.</w:t>
      </w:r>
    </w:p>
    <w:p>
      <w:pPr>
        <w:numPr>
          <w:ilvl w:val="0"/>
          <w:numId w:val="901"/>
        </w:numPr>
        <w:spacing w:before="0" w:after="160" w:line="240" w:lineRule="auto"/>
        <w:jc w:val="both"/>
      </w:pPr>
      <w:r>
        <w:rPr>
          <w:rFonts w:ascii="Century Gothic" w:hAnsi="Century Gothic" w:cs="Century Gothic" w:eastAsia="Century Gothic"/>
          <w:b/>
          <w:i w:val="0"/>
          <w:sz w:val="20"/>
        </w:rPr>
        <w:t>Demandas de sostenibilidad.</w:t>
      </w:r>
      <w:r>
        <w:rPr>
          <w:rFonts w:ascii="Century Gothic" w:hAnsi="Century Gothic" w:cs="Century Gothic" w:eastAsia="Century Gothic"/>
          <w:b w:val="0"/>
          <w:i w:val="0"/>
          <w:sz w:val="20"/>
        </w:rPr>
        <w:t xml:space="preserve"> Preparación y aseguramiento independiente de informes de sostenibilidad bajo las Normas NIIF de Sostenibilidad del ISSB, exigibles en Bolivia desde 2027, y bajo la NIEA 3000 y la NIAS 5000 del IAASB.</w:t>
      </w:r>
    </w:p>
    <w:p>
      <w:pPr>
        <w:numPr>
          <w:ilvl w:val="0"/>
          <w:numId w:val="901"/>
        </w:numPr>
        <w:spacing w:before="0" w:after="160" w:line="240" w:lineRule="auto"/>
        <w:jc w:val="both"/>
      </w:pPr>
      <w:r>
        <w:rPr>
          <w:rFonts w:ascii="Century Gothic" w:hAnsi="Century Gothic" w:cs="Century Gothic" w:eastAsia="Century Gothic"/>
          <w:b/>
          <w:i w:val="0"/>
          <w:sz w:val="20"/>
        </w:rPr>
        <w:t>Opacidad y crisis de integridad.</w:t>
      </w:r>
      <w:r>
        <w:rPr>
          <w:rFonts w:ascii="Century Gothic" w:hAnsi="Century Gothic" w:cs="Century Gothic" w:eastAsia="Century Gothic"/>
          <w:b w:val="0"/>
          <w:i w:val="0"/>
          <w:sz w:val="20"/>
        </w:rPr>
        <w:t xml:space="preserve"> Prevención y lucha contra la corrupción, el fraude financiero y la opacidad institucional mediante sistemas de control interno, gestión integral de riesgos, gobernanza de datos, auditorías forenses y peritajes contables.</w:t>
      </w:r>
    </w:p>
    <w:p>
      <w:pPr>
        <w:numPr>
          <w:ilvl w:val="0"/>
          <w:numId w:val="901"/>
        </w:numPr>
        <w:spacing w:before="0" w:after="160" w:line="240" w:lineRule="auto"/>
        <w:jc w:val="both"/>
      </w:pPr>
      <w:r>
        <w:rPr>
          <w:rFonts w:ascii="Century Gothic" w:hAnsi="Century Gothic" w:cs="Century Gothic" w:eastAsia="Century Gothic"/>
          <w:b/>
          <w:i w:val="0"/>
          <w:sz w:val="20"/>
        </w:rPr>
        <w:t>Complejidad tributaria y financiera.</w:t>
      </w:r>
      <w:r>
        <w:rPr>
          <w:rFonts w:ascii="Century Gothic" w:hAnsi="Century Gothic" w:cs="Century Gothic" w:eastAsia="Century Gothic"/>
          <w:b w:val="0"/>
          <w:i w:val="0"/>
          <w:sz w:val="20"/>
        </w:rPr>
        <w:t xml:space="preserve"> Gestión de contingencias impositivas y aduaneras mediante planificación tributaria y estructuración de finanzas corporativas en un contexto de recesión, inflación y tipo de cambio flexible.</w:t>
      </w:r>
    </w:p>
    <w:p>
      <w:pPr>
        <w:numPr>
          <w:ilvl w:val="0"/>
          <w:numId w:val="901"/>
        </w:numPr>
        <w:spacing w:before="0" w:after="200" w:line="240" w:lineRule="auto"/>
        <w:jc w:val="both"/>
      </w:pPr>
      <w:r>
        <w:rPr>
          <w:rFonts w:ascii="Century Gothic" w:hAnsi="Century Gothic" w:cs="Century Gothic" w:eastAsia="Century Gothic"/>
          <w:b/>
          <w:i w:val="0"/>
          <w:sz w:val="20"/>
        </w:rPr>
        <w:t>Saturación del mercado tradicional e informalidad.</w:t>
      </w:r>
      <w:r>
        <w:rPr>
          <w:rFonts w:ascii="Century Gothic" w:hAnsi="Century Gothic" w:cs="Century Gothic" w:eastAsia="Century Gothic"/>
          <w:b w:val="0"/>
          <w:i w:val="0"/>
          <w:sz w:val="20"/>
        </w:rPr>
        <w:t xml:space="preserve"> Diversificación hacia la consultoría de gestión, la gestión de riesgos y el aseguramiento integral, y atención a la micro y pequeña empresa en una economía con 84,2 % de informalidad laboral.</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4.2.2</w:t>
        <w:tab/>
      </w:r>
      <w:r>
        <w:rPr>
          <w:rFonts w:ascii="Century Gothic" w:hAnsi="Century Gothic" w:cs="Century Gothic" w:eastAsia="Century Gothic"/>
          <w:b/>
          <w:i w:val="0"/>
          <w:sz w:val="22"/>
        </w:rPr>
        <w:t>Prospectiva de la profesión</w:t>
      </w:r>
    </w:p>
    <w:p>
      <w:pPr>
        <w:keepNext/>
        <w:spacing w:before="40" w:after="200" w:line="240" w:lineRule="auto"/>
        <w:jc w:val="left"/>
      </w:pPr>
      <w:r>
        <w:rPr>
          <w:rFonts w:ascii="Century Gothic" w:hAnsi="Century Gothic" w:cs="Century Gothic" w:eastAsia="Century Gothic"/>
          <w:b/>
          <w:i w:val="0"/>
          <w:sz w:val="22"/>
        </w:rPr>
        <w:t>Naturaleza, evolución y vocación transformadora</w:t>
      </w:r>
    </w:p>
    <w:p>
      <w:pPr>
        <w:spacing w:before="0" w:after="200" w:line="240" w:lineRule="auto"/>
        <w:jc w:val="both"/>
      </w:pPr>
      <w:r>
        <w:rPr>
          <w:rFonts w:ascii="Century Gothic" w:hAnsi="Century Gothic" w:cs="Century Gothic" w:eastAsia="Century Gothic"/>
          <w:b w:val="0"/>
          <w:i w:val="0"/>
          <w:sz w:val="20"/>
        </w:rPr>
        <w:t>La profesión del Contador Público Autorizado trasciende la ejecución rutinaria de tareas técnicas o contables; constituye una vocación de desarrollo y transformación social e institucional. Cuando está adecuadamente orientada, la Contaduría Pública es una herramienta estratégica de alto impacto para las empresas, el Estado y la sociedad.</w:t>
      </w:r>
    </w:p>
    <w:p>
      <w:pPr>
        <w:spacing w:before="0" w:after="200" w:line="240" w:lineRule="auto"/>
        <w:jc w:val="both"/>
      </w:pPr>
      <w:r>
        <w:rPr>
          <w:rFonts w:ascii="Century Gothic" w:hAnsi="Century Gothic" w:cs="Century Gothic" w:eastAsia="Century Gothic"/>
          <w:b w:val="0"/>
          <w:i w:val="0"/>
          <w:sz w:val="20"/>
        </w:rPr>
        <w:t>En los últimos años la profesión ha experimentado una transformación acelerada impulsada por las tecnologías emergentes, la globalización de los mercados y las nuevas exigencias de transparencia. El ejercicio profesional ha migrado del registro transaccional hacia un catálogo ampliado de servicios de aseguramiento de información financiera y no financiera, consultoría de gestión, evaluación de riesgos y tributación. El Foro Económico Mundial proyecta que el 39 % de las competencias nucleares cambiará hacia 2030 y ubica los puestos de contabilidad, teneduría y nómina entre los de mayor declive, mientras crecen el juicio profesional, el análisis y la asesoría.</w:t>
      </w:r>
    </w:p>
    <w:p>
      <w:pPr>
        <w:spacing w:before="0" w:after="200" w:line="240" w:lineRule="auto"/>
        <w:jc w:val="both"/>
      </w:pPr>
      <w:r>
        <w:rPr>
          <w:rFonts w:ascii="Century Gothic" w:hAnsi="Century Gothic" w:cs="Century Gothic" w:eastAsia="Century Gothic"/>
          <w:b w:val="0"/>
          <w:i w:val="0"/>
          <w:sz w:val="20"/>
        </w:rPr>
        <w:t>En este marco, el rediseño adopta el modelo del Contador Público Autorizado aprobado en la III-XIII Reunión Sectorial de las Carreras de Contaduría Pública del Sistema de la Universidad Boliviana, ratificado por la Resolución N.º 07/2024 de la VI Conferencia Nacional Ordinaria de Universidades, y alineado con las Normas Internacionales de Educación, IES 1 a IES 8, de la IFAC.</w:t>
      </w:r>
    </w:p>
    <w:p>
      <w:pPr>
        <w:keepNext/>
        <w:spacing w:before="40" w:after="200" w:line="240" w:lineRule="auto"/>
        <w:jc w:val="left"/>
      </w:pPr>
      <w:r>
        <w:rPr>
          <w:rFonts w:ascii="Century Gothic" w:hAnsi="Century Gothic" w:cs="Century Gothic" w:eastAsia="Century Gothic"/>
          <w:b/>
          <w:i w:val="0"/>
          <w:sz w:val="22"/>
        </w:rPr>
        <w:t>El imperativo ético y la responsabilidad pública</w:t>
      </w:r>
    </w:p>
    <w:p>
      <w:pPr>
        <w:spacing w:before="0" w:after="200" w:line="240" w:lineRule="auto"/>
        <w:jc w:val="both"/>
      </w:pPr>
      <w:r>
        <w:rPr>
          <w:rFonts w:ascii="Century Gothic" w:hAnsi="Century Gothic" w:cs="Century Gothic" w:eastAsia="Century Gothic"/>
          <w:b w:val="0"/>
          <w:i w:val="0"/>
          <w:sz w:val="20"/>
        </w:rPr>
        <w:t>El ejercicio de la Contaduría Pública se fundamenta en la responsabilidad ante el interés público. Por ello, parte inherente de la formación es forjar una postura ética e independiente alineada con el Código Internacional de Ética del IESBA, cuyos principios son la integridad, la objetividad, la competencia y diligencia profesionales, la confidencialidad y el comportamiento profesional. El modelo educativo busca que el futuro profesional ejerza un juicio crítico ante su entorno y sea no solo técnicamente idóneo, sino un ser humano integral, con sensibilidad social, conciencia ecológica y compromiso con la transparencia y el desarrollo sostenible.</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4.2.3</w:t>
        <w:tab/>
      </w:r>
      <w:r>
        <w:rPr>
          <w:rFonts w:ascii="Century Gothic" w:hAnsi="Century Gothic" w:cs="Century Gothic" w:eastAsia="Century Gothic"/>
          <w:b/>
          <w:i w:val="0"/>
          <w:sz w:val="22"/>
        </w:rPr>
        <w:t>Caracterización de la práctica de la profesión (áreas de acción y funciones)</w:t>
      </w:r>
    </w:p>
    <w:p>
      <w:pPr>
        <w:keepNext/>
        <w:spacing w:before="40" w:after="200" w:line="240" w:lineRule="auto"/>
        <w:jc w:val="left"/>
      </w:pPr>
      <w:r>
        <w:rPr>
          <w:rFonts w:ascii="Century Gothic" w:hAnsi="Century Gothic" w:cs="Century Gothic" w:eastAsia="Century Gothic"/>
          <w:b/>
          <w:i w:val="0"/>
          <w:sz w:val="22"/>
        </w:rPr>
        <w:t>Entorno de la profesión</w:t>
      </w:r>
    </w:p>
    <w:p>
      <w:pPr>
        <w:spacing w:before="0" w:after="200" w:line="240" w:lineRule="auto"/>
        <w:jc w:val="both"/>
      </w:pPr>
      <w:r>
        <w:rPr>
          <w:rFonts w:ascii="Century Gothic" w:hAnsi="Century Gothic" w:cs="Century Gothic" w:eastAsia="Century Gothic"/>
          <w:b w:val="0"/>
          <w:i w:val="0"/>
          <w:sz w:val="20"/>
        </w:rPr>
        <w:t>El entorno de la profesión es el medio socioeconómico, institucional, regulatorio y tecnológico en el que el Contador Público Autorizado ejerce: el sector público, el sector privado, las entidades mixtas, las organizaciones sin fines de lucro y las instituciones multilaterales. Se analiza desde tres roles: el profesional, que corresponde a su responsabilidad ante la sociedad; el organizacional, que corresponde a su desempeño dentro de las entidades; y el individual, que corresponde al ejercicio libre, la consultoría y la docencia.</w:t>
      </w:r>
    </w:p>
    <w:p>
      <w:pPr>
        <w:spacing w:before="0" w:after="200" w:line="240" w:lineRule="auto"/>
        <w:jc w:val="both"/>
      </w:pPr>
      <w:r>
        <w:rPr>
          <w:rFonts w:ascii="Century Gothic" w:hAnsi="Century Gothic" w:cs="Century Gothic" w:eastAsia="Century Gothic"/>
          <w:b/>
          <w:i w:val="0"/>
          <w:sz w:val="20"/>
        </w:rPr>
        <w:t>Rol profesional.</w:t>
      </w:r>
      <w:r>
        <w:rPr>
          <w:rFonts w:ascii="Century Gothic" w:hAnsi="Century Gothic" w:cs="Century Gothic" w:eastAsia="Century Gothic"/>
          <w:b w:val="0"/>
          <w:i w:val="0"/>
          <w:sz w:val="20"/>
        </w:rPr>
        <w:t xml:space="preserve"> Es el compromiso ético y la responsabilidad pública que el Contador Público Autorizado asume ante la sociedad. Exige independencia de criterio, objetividad, confidencialidad y alta calidad técnica, y se desagrega en tres campos de actuación normados:</w:t>
      </w:r>
    </w:p>
    <w:p>
      <w:pPr>
        <w:numPr>
          <w:ilvl w:val="0"/>
          <w:numId w:val="902"/>
        </w:numPr>
        <w:spacing w:before="0" w:after="160" w:line="240" w:lineRule="auto"/>
        <w:jc w:val="both"/>
      </w:pPr>
      <w:r>
        <w:rPr>
          <w:rFonts w:ascii="Century Gothic" w:hAnsi="Century Gothic" w:cs="Century Gothic" w:eastAsia="Century Gothic"/>
          <w:b/>
          <w:i w:val="0"/>
          <w:sz w:val="20"/>
        </w:rPr>
        <w:t>Preparación y presentación de información financiera y de sostenibilidad.</w:t>
      </w:r>
      <w:r>
        <w:rPr>
          <w:rFonts w:ascii="Century Gothic" w:hAnsi="Century Gothic" w:cs="Century Gothic" w:eastAsia="Century Gothic"/>
          <w:b w:val="0"/>
          <w:i w:val="0"/>
          <w:sz w:val="20"/>
        </w:rPr>
        <w:t xml:space="preserve"> Preparar, presentar y revelar información financiera estructurada de acuerdo con las normas de información financiera y las disposiciones legales y regulatorias vigentes, y reportes no financieros alineados a los estándares de sostenibilidad, en entidades del sector público y privado.</w:t>
      </w:r>
    </w:p>
    <w:p>
      <w:pPr>
        <w:numPr>
          <w:ilvl w:val="0"/>
          <w:numId w:val="902"/>
        </w:numPr>
        <w:spacing w:before="0" w:after="160" w:line="240" w:lineRule="auto"/>
        <w:jc w:val="both"/>
      </w:pPr>
      <w:r>
        <w:rPr>
          <w:rFonts w:ascii="Century Gothic" w:hAnsi="Century Gothic" w:cs="Century Gothic" w:eastAsia="Century Gothic"/>
          <w:b/>
          <w:i w:val="0"/>
          <w:sz w:val="20"/>
        </w:rPr>
        <w:t>Servicios de aseguramiento.</w:t>
      </w:r>
      <w:r>
        <w:rPr>
          <w:rFonts w:ascii="Century Gothic" w:hAnsi="Century Gothic" w:cs="Century Gothic" w:eastAsia="Century Gothic"/>
          <w:b w:val="0"/>
          <w:i w:val="0"/>
          <w:sz w:val="20"/>
        </w:rPr>
        <w:t xml:space="preserve"> Expresar una opinión o conclusión profesional e independiente que incremente el grado de confianza de los usuarios sobre la materia examinada, conforme a las normas de auditoría, de revisión, de aseguramiento y de servicios relacionados aplicables a cada servicio.</w:t>
      </w:r>
    </w:p>
    <w:p>
      <w:pPr>
        <w:numPr>
          <w:ilvl w:val="0"/>
          <w:numId w:val="902"/>
        </w:numPr>
        <w:spacing w:before="0" w:after="200" w:line="240" w:lineRule="auto"/>
        <w:jc w:val="both"/>
      </w:pPr>
      <w:r>
        <w:rPr>
          <w:rFonts w:ascii="Century Gothic" w:hAnsi="Century Gothic" w:cs="Century Gothic" w:eastAsia="Century Gothic"/>
          <w:b/>
          <w:i w:val="0"/>
          <w:sz w:val="20"/>
        </w:rPr>
        <w:t>Servicios distintos del aseguramiento.</w:t>
      </w:r>
      <w:r>
        <w:rPr>
          <w:rFonts w:ascii="Century Gothic" w:hAnsi="Century Gothic" w:cs="Century Gothic" w:eastAsia="Century Gothic"/>
          <w:b w:val="0"/>
          <w:i w:val="0"/>
          <w:sz w:val="20"/>
        </w:rPr>
        <w:t xml:space="preserve"> Encargos especializados que no tienen el propósito de incrementar la confianza y no requieren la emisión de una opinión, pero que aportan valor en consultoría, planificación fiscal, finanzas corporativas, control interno, gestión de riesgos, procedimientos acordados y compilación de información.</w:t>
      </w:r>
    </w:p>
    <w:p>
      <w:pPr>
        <w:spacing w:before="0" w:after="200" w:line="240" w:lineRule="auto"/>
        <w:jc w:val="both"/>
      </w:pPr>
      <w:r>
        <w:rPr>
          <w:rFonts w:ascii="Century Gothic" w:hAnsi="Century Gothic" w:cs="Century Gothic" w:eastAsia="Century Gothic"/>
          <w:b/>
          <w:i w:val="0"/>
          <w:sz w:val="20"/>
        </w:rPr>
        <w:t>Rol organizacional.</w:t>
      </w:r>
      <w:r>
        <w:rPr>
          <w:rFonts w:ascii="Century Gothic" w:hAnsi="Century Gothic" w:cs="Century Gothic" w:eastAsia="Century Gothic"/>
          <w:b w:val="0"/>
          <w:i w:val="0"/>
          <w:sz w:val="20"/>
        </w:rPr>
        <w:t xml:space="preserve"> Es el compromiso con el desarrollo, la eficiencia y la gobernanza de las organizaciones donde presta sus servicios. El estudio de mercado laboral muestra que el 52 % de los egresados trabaja en relación de dependencia, pero el 77 % de ellos se ubica en niveles técnico operativos y el 23 % en mandos medios, sin presencia en cargos gerenciales. Por ello el nuevo perfil fortalece las competencias directivas para que el profesional se desempeñe como socio estratégico del negocio y como controller. Sus funciones son:</w:t>
      </w:r>
    </w:p>
    <w:p>
      <w:pPr>
        <w:numPr>
          <w:ilvl w:val="0"/>
          <w:numId w:val="903"/>
        </w:numPr>
        <w:spacing w:before="0" w:after="160" w:line="240" w:lineRule="auto"/>
        <w:jc w:val="both"/>
      </w:pPr>
      <w:r>
        <w:rPr>
          <w:rFonts w:ascii="Century Gothic" w:hAnsi="Century Gothic" w:cs="Century Gothic" w:eastAsia="Century Gothic"/>
          <w:b w:val="0"/>
          <w:i w:val="0"/>
          <w:sz w:val="20"/>
        </w:rPr>
        <w:t>Diseñar, implementar, operar y monitorear sistemas integrados de información financiera, de gestión y de sostenibilidad adaptados a la naturaleza, el tamaño y la tecnología de cada entidad.</w:t>
      </w:r>
    </w:p>
    <w:p>
      <w:pPr>
        <w:numPr>
          <w:ilvl w:val="0"/>
          <w:numId w:val="903"/>
        </w:numPr>
        <w:spacing w:before="0" w:after="160" w:line="240" w:lineRule="auto"/>
        <w:jc w:val="both"/>
      </w:pPr>
      <w:r>
        <w:rPr>
          <w:rFonts w:ascii="Century Gothic" w:hAnsi="Century Gothic" w:cs="Century Gothic" w:eastAsia="Century Gothic"/>
          <w:b w:val="0"/>
          <w:i w:val="0"/>
          <w:sz w:val="20"/>
        </w:rPr>
        <w:t>Formular estados financieros, presupuestos y cuadros de mando, con análisis prospectivo de flujos y proyecciones financieras para respaldar las decisiones ejecutivas.</w:t>
      </w:r>
    </w:p>
    <w:p>
      <w:pPr>
        <w:numPr>
          <w:ilvl w:val="0"/>
          <w:numId w:val="903"/>
        </w:numPr>
        <w:spacing w:before="0" w:after="160" w:line="240" w:lineRule="auto"/>
        <w:jc w:val="both"/>
      </w:pPr>
      <w:r>
        <w:rPr>
          <w:rFonts w:ascii="Century Gothic" w:hAnsi="Century Gothic" w:cs="Century Gothic" w:eastAsia="Century Gothic"/>
          <w:b w:val="0"/>
          <w:i w:val="0"/>
          <w:sz w:val="20"/>
        </w:rPr>
        <w:t>Organizar, dirigir y controlar la auditoría interna, evaluando la eficacia del control interno bajo el modelo COSO y la gestión integral de riesgos. La auditoría interna es el principal campo de inserción de los egresados, con el 35 %.</w:t>
      </w:r>
    </w:p>
    <w:p>
      <w:pPr>
        <w:numPr>
          <w:ilvl w:val="0"/>
          <w:numId w:val="903"/>
        </w:numPr>
        <w:spacing w:before="0" w:after="160" w:line="240" w:lineRule="auto"/>
        <w:jc w:val="both"/>
      </w:pPr>
      <w:r>
        <w:rPr>
          <w:rFonts w:ascii="Century Gothic" w:hAnsi="Century Gothic" w:cs="Century Gothic" w:eastAsia="Century Gothic"/>
          <w:b w:val="0"/>
          <w:i w:val="0"/>
          <w:sz w:val="20"/>
        </w:rPr>
        <w:t>Asesorar y supervisar el cumplimiento de las obligaciones fiscales, laborales, regulatorias y societarias, previniendo contingencias y optimizando la carga tributaria en el marco de la ley.</w:t>
      </w:r>
    </w:p>
    <w:p>
      <w:pPr>
        <w:numPr>
          <w:ilvl w:val="0"/>
          <w:numId w:val="903"/>
        </w:numPr>
        <w:spacing w:before="0" w:after="200" w:line="240" w:lineRule="auto"/>
        <w:jc w:val="both"/>
      </w:pPr>
      <w:r>
        <w:rPr>
          <w:rFonts w:ascii="Century Gothic" w:hAnsi="Century Gothic" w:cs="Century Gothic" w:eastAsia="Century Gothic"/>
          <w:b w:val="0"/>
          <w:i w:val="0"/>
          <w:sz w:val="20"/>
        </w:rPr>
        <w:t>Velar por el interés público, la transparencia en el uso de los recursos y los programas de cumplimiento y prevención de la corrupción.</w:t>
      </w:r>
    </w:p>
    <w:p>
      <w:pPr>
        <w:spacing w:before="0" w:after="200" w:line="240" w:lineRule="auto"/>
        <w:jc w:val="both"/>
      </w:pPr>
      <w:r>
        <w:rPr>
          <w:rFonts w:ascii="Century Gothic" w:hAnsi="Century Gothic" w:cs="Century Gothic" w:eastAsia="Century Gothic"/>
          <w:b/>
          <w:i w:val="0"/>
          <w:sz w:val="20"/>
        </w:rPr>
        <w:t>Rol individual.</w:t>
      </w:r>
      <w:r>
        <w:rPr>
          <w:rFonts w:ascii="Century Gothic" w:hAnsi="Century Gothic" w:cs="Century Gothic" w:eastAsia="Century Gothic"/>
          <w:b w:val="0"/>
          <w:i w:val="0"/>
          <w:sz w:val="20"/>
        </w:rPr>
        <w:t xml:space="preserve"> Corresponde al ejercicio libre de la profesión como profesional independiente, consultor o emprendedor, y a la investigación y la docencia universitaria. El 31 % de los egresados ejerce por cuenta propia o como consultor independiente. En este rol el profesional:</w:t>
      </w:r>
    </w:p>
    <w:p>
      <w:pPr>
        <w:numPr>
          <w:ilvl w:val="0"/>
          <w:numId w:val="904"/>
        </w:numPr>
        <w:spacing w:before="0" w:after="160" w:line="240" w:lineRule="auto"/>
        <w:jc w:val="both"/>
      </w:pPr>
      <w:r>
        <w:rPr>
          <w:rFonts w:ascii="Century Gothic" w:hAnsi="Century Gothic" w:cs="Century Gothic" w:eastAsia="Century Gothic"/>
          <w:b w:val="0"/>
          <w:i w:val="0"/>
          <w:sz w:val="20"/>
        </w:rPr>
        <w:t>Presta servicios independientes de consultoría y auditoría en finanzas, impuestos, control interno, gestión de riesgos, peritaje judicial y forense y sistemas contables automatizados.</w:t>
      </w:r>
    </w:p>
    <w:p>
      <w:pPr>
        <w:numPr>
          <w:ilvl w:val="0"/>
          <w:numId w:val="904"/>
        </w:numPr>
        <w:spacing w:before="0" w:after="160" w:line="240" w:lineRule="auto"/>
        <w:jc w:val="both"/>
      </w:pPr>
      <w:r>
        <w:rPr>
          <w:rFonts w:ascii="Century Gothic" w:hAnsi="Century Gothic" w:cs="Century Gothic" w:eastAsia="Century Gothic"/>
          <w:b w:val="0"/>
          <w:i w:val="0"/>
          <w:sz w:val="20"/>
        </w:rPr>
        <w:t>Emite informes como auditor externo independiente sobre estados financieros, proyectos de inversión e informes de sostenibilidad para terceros interesados, como bancos, inversionistas y la administración tributaria.</w:t>
      </w:r>
    </w:p>
    <w:p>
      <w:pPr>
        <w:numPr>
          <w:ilvl w:val="0"/>
          <w:numId w:val="904"/>
        </w:numPr>
        <w:spacing w:before="0" w:after="200" w:line="240" w:lineRule="auto"/>
        <w:jc w:val="both"/>
      </w:pPr>
      <w:r>
        <w:rPr>
          <w:rFonts w:ascii="Century Gothic" w:hAnsi="Century Gothic" w:cs="Century Gothic" w:eastAsia="Century Gothic"/>
          <w:b w:val="0"/>
          <w:i w:val="0"/>
          <w:sz w:val="20"/>
        </w:rPr>
        <w:t>Desarrolla investigación aplicada en ciencias contables, aporta a la solución de la problemática económica nacional e imparte docencia de grado y postgrado.</w:t>
      </w:r>
    </w:p>
    <w:p>
      <w:pPr>
        <w:keepNext/>
        <w:spacing w:before="40" w:after="200" w:line="240" w:lineRule="auto"/>
        <w:jc w:val="left"/>
      </w:pPr>
      <w:r>
        <w:rPr>
          <w:rFonts w:ascii="Century Gothic" w:hAnsi="Century Gothic" w:cs="Century Gothic" w:eastAsia="Century Gothic"/>
          <w:b/>
          <w:i w:val="0"/>
          <w:sz w:val="22"/>
        </w:rPr>
        <w:t>Áreas de desempeño profesional</w:t>
      </w:r>
    </w:p>
    <w:p>
      <w:pPr>
        <w:keepNext/>
        <w:spacing w:before="40" w:after="80" w:line="240" w:lineRule="auto"/>
        <w:jc w:val="center"/>
      </w:pPr>
      <w:r>
        <w:rPr>
          <w:rFonts w:ascii="Century Gothic" w:hAnsi="Century Gothic" w:cs="Century Gothic" w:eastAsia="Century Gothic"/>
          <w:b/>
          <w:i w:val="0"/>
          <w:sz w:val="20"/>
        </w:rPr>
        <w:t>Cuadro 1. Áreas de desempeño profesional del Contador Público Autorizado</w:t>
      </w:r>
    </w:p>
    <w:tbl>
      <w:tblPr>
        <w:tblW w:type="auto" w:w="0"/>
        <w:jc w:val="center"/>
        <w:tblLayout w:type="fixed"/>
        <w:tblLook w:firstColumn="1" w:firstRow="1" w:lastColumn="0" w:lastRow="0" w:noHBand="0" w:noVBand="1" w:val="04A0"/>
      </w:tblPr>
      <w:tblGrid>
        <w:gridCol w:w="2551"/>
        <w:gridCol w:w="6520"/>
      </w:tblGrid>
      <w:tr>
        <w:trPr>
          <w:tblHeader/>
        </w:trPr>
        <w:tc>
          <w:tcPr>
            <w:tcW w:type="dxa" w:w="255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Área</w:t>
            </w:r>
          </w:p>
        </w:tc>
        <w:tc>
          <w:tcPr>
            <w:tcW w:type="dxa" w:w="65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Funciones principales</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Contabilidad externa e información integral</w:t>
            </w:r>
          </w:p>
        </w:tc>
        <w:tc>
          <w:tcPr>
            <w:tcW w:type="dxa" w:w="65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Preparación, consolidación y emisión de estados financieros de propósito general y específico bajo las Normas de Contabilidad Generalmente Aceptadas en Bolivia, las Normas NIIF de Contabilidad, la NIIF para las PYMES, las Normas Básicas del Sistema de Contabilidad Gubernamental Integrado y las NICSP</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Contabilidad interna y de gestión</w:t>
            </w:r>
          </w:p>
        </w:tc>
        <w:tc>
          <w:tcPr>
            <w:tcW w:type="dxa" w:w="65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Sistemas de costos, presupuestos, indicadores de gestión, cuadros de mando integral e información prospectiva para decisiones estratégicas</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Servicios de aseguramiento</w:t>
            </w:r>
          </w:p>
        </w:tc>
        <w:tc>
          <w:tcPr>
            <w:tcW w:type="dxa" w:w="65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Encargos de seguridad razonable, como auditoría financiera, gubernamental, operativa, de sistemas, de sostenibilidad, ambiental, forense y de proyectos, y encargos de seguridad limitada, como la revisión de información financiera, bajo las NAGA, las NIA, las Normas de Auditoría Gubernamental, las NIEA, la NIAS 5000 y las NIER</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Servicios distintos del aseguramiento</w:t>
            </w:r>
          </w:p>
        </w:tc>
        <w:tc>
          <w:tcPr>
            <w:tcW w:type="dxa" w:w="65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Procedimientos acordados conforme a la NISR 4400, compilación de información financiera conforme a la NISR 4410, peritajes judiciales y consultoría de organización y métodos</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Tributación</w:t>
            </w:r>
          </w:p>
        </w:tc>
        <w:tc>
          <w:tcPr>
            <w:tcW w:type="dxa" w:w="65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Planificación, determinación, liquidación y auditoría de obligaciones tributarias nacionales, departamentales y municipales, en el marco del Código Tributario y la legislación aduanera</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Finanzas corporativas</w:t>
            </w:r>
          </w:p>
        </w:tc>
        <w:tc>
          <w:tcPr>
            <w:tcW w:type="dxa" w:w="65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Dirección financiera, presupuestación de capital, gestión en mercados de valores, evaluación de proyectos de inversión y políticas de estructuración de capital</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Gobernanza, control interno y riesgos</w:t>
            </w:r>
          </w:p>
        </w:tc>
        <w:tc>
          <w:tcPr>
            <w:tcW w:type="dxa" w:w="65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Evaluación y diseño de estructuras de control interno, gestión de riesgos empresariales y gobernanza digital</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Sistema de acciones y herramientas</w:t>
      </w:r>
    </w:p>
    <w:p>
      <w:pPr>
        <w:spacing w:before="0" w:after="200" w:line="240" w:lineRule="auto"/>
        <w:jc w:val="both"/>
      </w:pPr>
      <w:r>
        <w:rPr>
          <w:rFonts w:ascii="Century Gothic" w:hAnsi="Century Gothic" w:cs="Century Gothic" w:eastAsia="Century Gothic"/>
          <w:b w:val="0"/>
          <w:i w:val="0"/>
          <w:sz w:val="20"/>
        </w:rPr>
        <w:t>El sistema de acciones comprende las operaciones, procedimientos, metodologías, instrumentos tecnológicos y lenguajes mediante los cuales el profesional resuelve problemas concretos. Se distinguen actividades invariantes, que forman el núcleo permanente de la profesión, y actividades variantes, que corresponden a los campos emergentes.</w:t>
      </w:r>
    </w:p>
    <w:p>
      <w:pPr>
        <w:spacing w:before="0" w:after="200" w:line="240" w:lineRule="auto"/>
        <w:jc w:val="both"/>
      </w:pPr>
      <w:r>
        <w:rPr>
          <w:rFonts w:ascii="Century Gothic" w:hAnsi="Century Gothic" w:cs="Century Gothic" w:eastAsia="Century Gothic"/>
          <w:b/>
          <w:i w:val="0"/>
          <w:sz w:val="20"/>
        </w:rPr>
        <w:t>Actividades invariantes.</w:t>
      </w:r>
      <w:r>
        <w:rPr>
          <w:rFonts w:ascii="Century Gothic" w:hAnsi="Century Gothic" w:cs="Century Gothic" w:eastAsia="Century Gothic"/>
          <w:b w:val="0"/>
          <w:i w:val="0"/>
          <w:sz w:val="20"/>
        </w:rPr>
        <w:t xml:space="preserve"> Son las actuaciones indispensables del Contador Público Autorizado, independientemente del sector o de la organización:</w:t>
      </w:r>
    </w:p>
    <w:p>
      <w:pPr>
        <w:numPr>
          <w:ilvl w:val="0"/>
          <w:numId w:val="905"/>
        </w:numPr>
        <w:spacing w:before="0" w:after="160" w:line="240" w:lineRule="auto"/>
        <w:jc w:val="both"/>
      </w:pPr>
      <w:r>
        <w:rPr>
          <w:rFonts w:ascii="Century Gothic" w:hAnsi="Century Gothic" w:cs="Century Gothic" w:eastAsia="Century Gothic"/>
          <w:b/>
          <w:i w:val="0"/>
          <w:sz w:val="20"/>
        </w:rPr>
        <w:t>Diseño, operación y supervisión de sistemas de información financiera y de sostenibilidad:</w:t>
      </w:r>
      <w:r>
        <w:rPr>
          <w:rFonts w:ascii="Century Gothic" w:hAnsi="Century Gothic" w:cs="Century Gothic" w:eastAsia="Century Gothic"/>
          <w:b w:val="0"/>
          <w:i w:val="0"/>
          <w:sz w:val="20"/>
        </w:rPr>
        <w:t xml:space="preserve"> estructurar el plan de cuentas, las políticas contables y los flujos de información bajo las normas de información financiera nacionales e internacionales y del sector público, y elaborar, consolidar y presentar el juego completo de estados financieros e informes de sostenibilidad con sus notas.</w:t>
      </w:r>
    </w:p>
    <w:p>
      <w:pPr>
        <w:numPr>
          <w:ilvl w:val="0"/>
          <w:numId w:val="905"/>
        </w:numPr>
        <w:spacing w:before="0" w:after="160" w:line="240" w:lineRule="auto"/>
        <w:jc w:val="both"/>
      </w:pPr>
      <w:r>
        <w:rPr>
          <w:rFonts w:ascii="Century Gothic" w:hAnsi="Century Gothic" w:cs="Century Gothic" w:eastAsia="Century Gothic"/>
          <w:b/>
          <w:i w:val="0"/>
          <w:sz w:val="20"/>
        </w:rPr>
        <w:t>Ejecución de servicios de aseguramiento y auditoría:</w:t>
      </w:r>
      <w:r>
        <w:rPr>
          <w:rFonts w:ascii="Century Gothic" w:hAnsi="Century Gothic" w:cs="Century Gothic" w:eastAsia="Century Gothic"/>
          <w:b w:val="0"/>
          <w:i w:val="0"/>
          <w:sz w:val="20"/>
        </w:rPr>
        <w:t xml:space="preserve"> planificar, ejecutar y evaluar auditorías de estados financieros bajo las NAGA o las NIA; realizar auditorías gubernamentales y de control posterior conforme a las Normas de Auditoría Gubernamental y la Ley N.º 1178; evaluar la eficacia del control interno con el marco COSO; y realizar auditorías operativas, de sistemas y ambientales, entre otras.</w:t>
      </w:r>
    </w:p>
    <w:p>
      <w:pPr>
        <w:numPr>
          <w:ilvl w:val="0"/>
          <w:numId w:val="905"/>
        </w:numPr>
        <w:spacing w:before="0" w:after="200" w:line="240" w:lineRule="auto"/>
        <w:jc w:val="both"/>
      </w:pPr>
      <w:r>
        <w:rPr>
          <w:rFonts w:ascii="Century Gothic" w:hAnsi="Century Gothic" w:cs="Century Gothic" w:eastAsia="Century Gothic"/>
          <w:b/>
          <w:i w:val="0"/>
          <w:sz w:val="20"/>
        </w:rPr>
        <w:t>Gestión y cumplimiento tributario, fiscal y laboral:</w:t>
      </w:r>
      <w:r>
        <w:rPr>
          <w:rFonts w:ascii="Century Gothic" w:hAnsi="Century Gothic" w:cs="Century Gothic" w:eastAsia="Century Gothic"/>
          <w:b w:val="0"/>
          <w:i w:val="0"/>
          <w:sz w:val="20"/>
        </w:rPr>
        <w:t xml:space="preserve"> determinar, liquidar y revisar las obligaciones impositivas nacionales, departamentales y municipales, y verificar el cumplimiento de los aportes a la seguridad social y de la normativa laboral.</w:t>
      </w:r>
    </w:p>
    <w:p>
      <w:pPr>
        <w:spacing w:before="0" w:after="200" w:line="240" w:lineRule="auto"/>
        <w:jc w:val="both"/>
      </w:pPr>
      <w:r>
        <w:rPr>
          <w:rFonts w:ascii="Century Gothic" w:hAnsi="Century Gothic" w:cs="Century Gothic" w:eastAsia="Century Gothic"/>
          <w:b/>
          <w:i w:val="0"/>
          <w:sz w:val="20"/>
        </w:rPr>
        <w:t>Actividades variantes.</w:t>
      </w:r>
      <w:r>
        <w:rPr>
          <w:rFonts w:ascii="Century Gothic" w:hAnsi="Century Gothic" w:cs="Century Gothic" w:eastAsia="Century Gothic"/>
          <w:b w:val="0"/>
          <w:i w:val="0"/>
          <w:sz w:val="20"/>
        </w:rPr>
        <w:t xml:space="preserve"> Son las acciones que responden a la transformación tecnológica, la complejidad de los negocios y los nuevos nichos de mercado:</w:t>
      </w:r>
    </w:p>
    <w:p>
      <w:pPr>
        <w:numPr>
          <w:ilvl w:val="0"/>
          <w:numId w:val="906"/>
        </w:numPr>
        <w:spacing w:before="0" w:after="160" w:line="240" w:lineRule="auto"/>
        <w:jc w:val="both"/>
      </w:pPr>
      <w:r>
        <w:rPr>
          <w:rFonts w:ascii="Century Gothic" w:hAnsi="Century Gothic" w:cs="Century Gothic" w:eastAsia="Century Gothic"/>
          <w:b/>
          <w:i w:val="0"/>
          <w:sz w:val="20"/>
        </w:rPr>
        <w:t>Gobernanza digital, auditoría de tecnologías de la información e inteligencia artificial:</w:t>
      </w:r>
      <w:r>
        <w:rPr>
          <w:rFonts w:ascii="Century Gothic" w:hAnsi="Century Gothic" w:cs="Century Gothic" w:eastAsia="Century Gothic"/>
          <w:b w:val="0"/>
          <w:i w:val="0"/>
          <w:sz w:val="20"/>
        </w:rPr>
        <w:t xml:space="preserve"> auditar la seguridad, la ciberseguridad y la confiabilidad de los algoritmos usados en procesos financieros automatizados, y validar la automatización robótica de procesos y los sistemas en la nube.</w:t>
      </w:r>
    </w:p>
    <w:p>
      <w:pPr>
        <w:numPr>
          <w:ilvl w:val="0"/>
          <w:numId w:val="906"/>
        </w:numPr>
        <w:spacing w:before="0" w:after="160" w:line="240" w:lineRule="auto"/>
        <w:jc w:val="both"/>
      </w:pPr>
      <w:r>
        <w:rPr>
          <w:rFonts w:ascii="Century Gothic" w:hAnsi="Century Gothic" w:cs="Century Gothic" w:eastAsia="Century Gothic"/>
          <w:b/>
          <w:i w:val="0"/>
          <w:sz w:val="20"/>
        </w:rPr>
        <w:t>Auditoría forense, peritaje y prevención de delitos económicos:</w:t>
      </w:r>
      <w:r>
        <w:rPr>
          <w:rFonts w:ascii="Century Gothic" w:hAnsi="Century Gothic" w:cs="Century Gothic" w:eastAsia="Century Gothic"/>
          <w:b w:val="0"/>
          <w:i w:val="0"/>
          <w:sz w:val="20"/>
        </w:rPr>
        <w:t xml:space="preserve"> evaluar fraudes financieros, malversación de activos, delitos tributarios y legitimación de ganancias ilícitas, y elaborar informes periciales con valor probatorio.</w:t>
      </w:r>
    </w:p>
    <w:p>
      <w:pPr>
        <w:numPr>
          <w:ilvl w:val="0"/>
          <w:numId w:val="906"/>
        </w:numPr>
        <w:spacing w:before="0" w:after="160" w:line="240" w:lineRule="auto"/>
        <w:jc w:val="both"/>
      </w:pPr>
      <w:r>
        <w:rPr>
          <w:rFonts w:ascii="Century Gothic" w:hAnsi="Century Gothic" w:cs="Century Gothic" w:eastAsia="Century Gothic"/>
          <w:b/>
          <w:i w:val="0"/>
          <w:sz w:val="20"/>
        </w:rPr>
        <w:t>Aseguramiento de informes de sostenibilidad:</w:t>
      </w:r>
      <w:r>
        <w:rPr>
          <w:rFonts w:ascii="Century Gothic" w:hAnsi="Century Gothic" w:cs="Century Gothic" w:eastAsia="Century Gothic"/>
          <w:b w:val="0"/>
          <w:i w:val="0"/>
          <w:sz w:val="20"/>
        </w:rPr>
        <w:t xml:space="preserve"> revisar con seguridad razonable o limitada, bajo la NIAS 5000, los indicadores de impacto ambiental, social y de gobernanza de las empresas.</w:t>
      </w:r>
    </w:p>
    <w:p>
      <w:pPr>
        <w:numPr>
          <w:ilvl w:val="0"/>
          <w:numId w:val="906"/>
        </w:numPr>
        <w:spacing w:before="0" w:after="160" w:line="240" w:lineRule="auto"/>
        <w:jc w:val="both"/>
      </w:pPr>
      <w:r>
        <w:rPr>
          <w:rFonts w:ascii="Century Gothic" w:hAnsi="Century Gothic" w:cs="Century Gothic" w:eastAsia="Century Gothic"/>
          <w:b/>
          <w:i w:val="0"/>
          <w:sz w:val="20"/>
        </w:rPr>
        <w:t>Consultoría en gestión integral de riesgos y finanzas corporativas:</w:t>
      </w:r>
      <w:r>
        <w:rPr>
          <w:rFonts w:ascii="Century Gothic" w:hAnsi="Century Gothic" w:cs="Century Gothic" w:eastAsia="Century Gothic"/>
          <w:b w:val="0"/>
          <w:i w:val="0"/>
          <w:sz w:val="20"/>
        </w:rPr>
        <w:t xml:space="preserve"> diseñar tableros de control, modelos de valoración de empresas, reestructuraciones financieras y análisis de precios de transferencia.</w:t>
      </w:r>
    </w:p>
    <w:p>
      <w:pPr>
        <w:numPr>
          <w:ilvl w:val="0"/>
          <w:numId w:val="906"/>
        </w:numPr>
        <w:spacing w:before="0" w:after="200" w:line="240" w:lineRule="auto"/>
        <w:jc w:val="both"/>
      </w:pPr>
      <w:r>
        <w:rPr>
          <w:rFonts w:ascii="Century Gothic" w:hAnsi="Century Gothic" w:cs="Century Gothic" w:eastAsia="Century Gothic"/>
          <w:b/>
          <w:i w:val="0"/>
          <w:sz w:val="20"/>
        </w:rPr>
        <w:t>Investigación, innovación y docencia universitaria:</w:t>
      </w:r>
      <w:r>
        <w:rPr>
          <w:rFonts w:ascii="Century Gothic" w:hAnsi="Century Gothic" w:cs="Century Gothic" w:eastAsia="Century Gothic"/>
          <w:b w:val="0"/>
          <w:i w:val="0"/>
          <w:sz w:val="20"/>
        </w:rPr>
        <w:t xml:space="preserve"> desarrollar investigación contable aplicada, generar conocimiento disciplinar y promover metodologías de enseñanza situadas.</w:t>
      </w:r>
    </w:p>
    <w:p>
      <w:pPr>
        <w:spacing w:before="0" w:after="200" w:line="240" w:lineRule="auto"/>
        <w:jc w:val="both"/>
      </w:pPr>
      <w:r>
        <w:rPr>
          <w:rFonts w:ascii="Century Gothic" w:hAnsi="Century Gothic" w:cs="Century Gothic" w:eastAsia="Century Gothic"/>
          <w:b/>
          <w:i w:val="0"/>
          <w:sz w:val="20"/>
        </w:rPr>
        <w:t>Herramientas tecnológicas, analíticas y metodológicas.</w:t>
      </w:r>
      <w:r>
        <w:rPr>
          <w:rFonts w:ascii="Century Gothic" w:hAnsi="Century Gothic" w:cs="Century Gothic" w:eastAsia="Century Gothic"/>
          <w:b w:val="0"/>
          <w:i w:val="0"/>
          <w:sz w:val="20"/>
        </w:rPr>
        <w:t xml:space="preserve"> El profesional utiliza sistemas de planificación de recursos empresariales, como SAP, Oracle u Odoo, y sistemas contables y tributarios de uso extendido; herramientas de inteligencia de negocios y analítica de datos, como Power BI, Tableau, Python o R aplicados a finanzas; inteligencia artificial generativa para la clasificación de transacciones, la redacción asistida de notas y la automatización de flujos de trabajo; y matrices de riesgo y control, programas de auditoría en software especializado y reporte estructurado en XBRL.</w:t>
      </w:r>
    </w:p>
    <w:p>
      <w:pPr>
        <w:spacing w:before="0" w:after="200" w:line="240" w:lineRule="auto"/>
        <w:jc w:val="both"/>
      </w:pPr>
      <w:r>
        <w:rPr>
          <w:rFonts w:ascii="Century Gothic" w:hAnsi="Century Gothic" w:cs="Century Gothic" w:eastAsia="Century Gothic"/>
          <w:b/>
          <w:i w:val="0"/>
          <w:sz w:val="20"/>
        </w:rPr>
        <w:t>Lenguaje técnico e internacionalización.</w:t>
      </w:r>
      <w:r>
        <w:rPr>
          <w:rFonts w:ascii="Century Gothic" w:hAnsi="Century Gothic" w:cs="Century Gothic" w:eastAsia="Century Gothic"/>
          <w:b w:val="0"/>
          <w:i w:val="0"/>
          <w:sz w:val="20"/>
        </w:rPr>
        <w:t xml:space="preserve"> El ejercicio profesional exige el dominio de la terminología normalizada por la IFAC, el IAASB, el IASB, el ISSB y el IESBA, y el uso progresivo del inglés técnico contable para la lectura de estándares no traducidos, la operación de software especializado y la comunicación con firmas globales, demanda que el 89 % de los estudiantes identifica en el diagnóstico.</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4.2.4</w:t>
        <w:tab/>
      </w:r>
      <w:r>
        <w:rPr>
          <w:rFonts w:ascii="Century Gothic" w:hAnsi="Century Gothic" w:cs="Century Gothic" w:eastAsia="Century Gothic"/>
          <w:b/>
          <w:i w:val="0"/>
          <w:sz w:val="22"/>
        </w:rPr>
        <w:t>Objeto de la profesión</w:t>
      </w:r>
    </w:p>
    <w:p>
      <w:pPr>
        <w:spacing w:before="0" w:after="200" w:line="240" w:lineRule="auto"/>
        <w:jc w:val="both"/>
      </w:pPr>
      <w:r>
        <w:rPr>
          <w:rFonts w:ascii="Century Gothic" w:hAnsi="Century Gothic" w:cs="Century Gothic" w:eastAsia="Century Gothic"/>
          <w:b w:val="0"/>
          <w:i w:val="0"/>
          <w:sz w:val="20"/>
        </w:rPr>
        <w:t>El objeto de estudio y de desempeño de la Contaduría Pública abarca la medición, el análisis, el control, el procesamiento, el aseguramiento y la comunicación de la información económica, financiera y no financiera, esta última operativa, social, ambiental y de gestión, correspondiente a los hechos y eventos que ocurren en las organizaciones del sector público, privado y mixto.</w:t>
      </w:r>
    </w:p>
    <w:p>
      <w:pPr>
        <w:spacing w:before="0" w:after="200" w:line="240" w:lineRule="auto"/>
        <w:jc w:val="both"/>
      </w:pPr>
      <w:r>
        <w:rPr>
          <w:rFonts w:ascii="Century Gothic" w:hAnsi="Century Gothic" w:cs="Century Gothic" w:eastAsia="Century Gothic"/>
          <w:b w:val="0"/>
          <w:i w:val="0"/>
          <w:sz w:val="20"/>
        </w:rPr>
        <w:t>En la economía global y digital, el objeto evoluciona desde la teneduría de libros y el registro tradicional hacia la gestión integral del sistema de información organizacional, con indicadores de sostenibilidad, analítica de datos e inteligencia artificial, para generar confianza y facilitar la toma de decisiones de los usuarios. La contabilidad se entiende así como un sistema de información integrado que opera en cinco fases:</w:t>
      </w:r>
    </w:p>
    <w:p>
      <w:pPr>
        <w:keepNext/>
        <w:spacing w:before="40" w:after="80" w:line="240" w:lineRule="auto"/>
        <w:jc w:val="center"/>
      </w:pPr>
      <w:r>
        <w:rPr>
          <w:rFonts w:ascii="Century Gothic" w:hAnsi="Century Gothic" w:cs="Century Gothic" w:eastAsia="Century Gothic"/>
          <w:b/>
          <w:i w:val="0"/>
          <w:sz w:val="20"/>
        </w:rPr>
        <w:t>Cuadro 2. La contabilidad como sistema de información organizacional</w:t>
      </w:r>
    </w:p>
    <w:tbl>
      <w:tblPr>
        <w:tblW w:type="auto" w:w="0"/>
        <w:jc w:val="center"/>
        <w:tblLayout w:type="fixed"/>
        <w:tblLook w:firstColumn="1" w:firstRow="1" w:lastColumn="0" w:lastRow="0" w:noHBand="0" w:noVBand="1" w:val="04A0"/>
      </w:tblPr>
      <w:tblGrid>
        <w:gridCol w:w="1814"/>
        <w:gridCol w:w="3742"/>
        <w:gridCol w:w="3515"/>
      </w:tblGrid>
      <w:tr>
        <w:trPr>
          <w:tblHeader/>
        </w:trPr>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Fase</w:t>
            </w:r>
          </w:p>
        </w:tc>
        <w:tc>
          <w:tcPr>
            <w:tcW w:type="dxa" w:w="37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Acción</w:t>
            </w:r>
          </w:p>
        </w:tc>
        <w:tc>
          <w:tcPr>
            <w:tcW w:type="dxa" w:w="3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Enfoque actualizado</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Alimentación o insumo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Captura los datos de las transacciones y eventos económicos, jurídicos, administrativos, sociales y ambientales, debidamente respaldados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Captura automatizada mediante sistemas de gestión empresarial, comprobantes electrónicos y flujos de información operativa y de sostenibilidad</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Procesamiento</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Analiza, clasifica, mide y registra conforme a las normas de información financiera nacionales e internacionales, del sector público, tributarias y legales vigentes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Analítica de datos, automatización robótica de procesos y modelos de validación de la consistencia de los datos</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Almacenamiento y gobernanza de datos</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Preserva la información con herramientas que garantizan su integridad, confidencialidad y disponibilidad</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Protocolos de gobernanza digital, custodia en la nube y trazabilidad bajo estándares de ciberseguridad y control interno</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Producto o salida</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Comunica la información a los usuarios mediante estados financieros, reportes de sostenibilidad, informes de gestión, declaraciones tributarias y cuadros de mando</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Informes de aseguramiento bajo las NIA, las Normas de Auditoría Gubernamental, las NIER, las NIEA y la NIAS 5000</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Retroalimentación</w:t>
            </w:r>
          </w:p>
        </w:tc>
        <w:tc>
          <w:tcPr>
            <w:tcW w:type="dxa" w:w="37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Devuelve la información a la dirección y a los órganos de gobierno para evaluar desviaciones y corregir estrategias</w:t>
            </w:r>
          </w:p>
        </w:tc>
        <w:tc>
          <w:tcPr>
            <w:tcW w:type="dxa" w:w="3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Gestión integral de riesgos, auditoría interna y sistemas de alerta temprana</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 xml:space="preserve">Así, el objeto de la profesión del Contador Público Autorizado es la </w:t>
      </w:r>
      <w:r>
        <w:rPr>
          <w:rFonts w:ascii="Century Gothic" w:hAnsi="Century Gothic" w:cs="Century Gothic" w:eastAsia="Century Gothic"/>
          <w:b/>
          <w:i w:val="0"/>
          <w:sz w:val="20"/>
        </w:rPr>
        <w:t>información financiera, operativa, de gestión y de sostenibilidad</w:t>
      </w:r>
      <w:r>
        <w:rPr>
          <w:rFonts w:ascii="Century Gothic" w:hAnsi="Century Gothic" w:cs="Century Gothic" w:eastAsia="Century Gothic"/>
          <w:b w:val="0"/>
          <w:i w:val="0"/>
          <w:sz w:val="20"/>
        </w:rPr>
        <w:t xml:space="preserve"> generada a partir de los hechos y eventos cuantitativos y cualitativos de las organizaciones públicas y privadas, cuya fiabilidad, transparencia, veracidad y alineación ética garantiza para el desarrollo socioeconómico del país.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4.2.5</w:t>
        <w:tab/>
      </w:r>
      <w:r>
        <w:rPr>
          <w:rFonts w:ascii="Century Gothic" w:hAnsi="Century Gothic" w:cs="Century Gothic" w:eastAsia="Century Gothic"/>
          <w:b/>
          <w:i w:val="0"/>
          <w:sz w:val="22"/>
        </w:rPr>
        <w:t>Objetivo de la profesión</w:t>
      </w:r>
    </w:p>
    <w:p>
      <w:pPr>
        <w:spacing w:before="0" w:after="200" w:line="240" w:lineRule="auto"/>
        <w:jc w:val="both"/>
      </w:pPr>
      <w:r>
        <w:rPr>
          <w:rFonts w:ascii="Century Gothic" w:hAnsi="Century Gothic" w:cs="Century Gothic" w:eastAsia="Century Gothic"/>
          <w:b w:val="0"/>
          <w:i w:val="0"/>
          <w:sz w:val="20"/>
        </w:rPr>
        <w:t>La profesión tiene como propósito central la generación, evaluación y comunicación de información confiable, oportuna y transparente para respaldar las decisiones, el control de gestión y la rendición de cuentas ante la sociedad. Para ello aplica, en la fase de preparación, las Normas de Contabilidad Generalmente Aceptadas en Bolivia, las Normas NIIF de Contabilidad, las Normas Básicas del Sistema de Contabilidad Gubernamental Integrado, las NICSP y las NIIF de Sostenibilidad; y, en la fase de aseguramiento, las Normas de Auditoría Gubernamental de la Contraloría General del Estado, las Normas de Auditoría Generalmente Aceptadas en Bolivia y los pronunciamientos internacionales del IAASB, es decir, las NIA, NIER, NIEA y NIAS.</w:t>
      </w:r>
    </w:p>
    <w:p>
      <w:pPr>
        <w:keepNext/>
        <w:spacing w:before="40" w:after="200" w:line="240" w:lineRule="auto"/>
        <w:jc w:val="left"/>
      </w:pPr>
      <w:r>
        <w:rPr>
          <w:rFonts w:ascii="Century Gothic" w:hAnsi="Century Gothic" w:cs="Century Gothic" w:eastAsia="Century Gothic"/>
          <w:b/>
          <w:i w:val="0"/>
          <w:sz w:val="22"/>
        </w:rPr>
        <w:t>Objetivo general</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val="0"/>
                <w:i w:val="0"/>
                <w:sz w:val="20"/>
              </w:rPr>
              <w:t>Proporcionar información económica, financiera, operativa y de sostenibilidad oportuna, útil, confiable, comparable y sistémica a los usuarios internos y externos de organizaciones públicas, privadas y mixtas, garantizando el interés público, el cumplimiento ético y normativo y el control integral de gestión, para fundamentar la toma de decisiones y contribuir al desarrollo socioeconómico sostenible.</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Objetivos específicos</w:t>
      </w:r>
    </w:p>
    <w:p>
      <w:pPr>
        <w:spacing w:before="0" w:after="200" w:line="240" w:lineRule="auto"/>
        <w:jc w:val="both"/>
      </w:pPr>
      <w:r>
        <w:rPr>
          <w:rFonts w:ascii="Century Gothic" w:hAnsi="Century Gothic" w:cs="Century Gothic" w:eastAsia="Century Gothic"/>
          <w:b w:val="0"/>
          <w:i w:val="0"/>
          <w:sz w:val="20"/>
        </w:rPr>
        <w:t>Para concretar el objetivo general, la profesión despliega su actuación en tres pilares:</w:t>
      </w:r>
    </w:p>
    <w:p>
      <w:pPr>
        <w:numPr>
          <w:ilvl w:val="0"/>
          <w:numId w:val="907"/>
        </w:numPr>
        <w:spacing w:before="0" w:after="160" w:line="240" w:lineRule="auto"/>
        <w:jc w:val="both"/>
      </w:pPr>
      <w:r>
        <w:rPr>
          <w:rFonts w:ascii="Century Gothic" w:hAnsi="Century Gothic" w:cs="Century Gothic" w:eastAsia="Century Gothic"/>
          <w:b/>
          <w:i w:val="0"/>
          <w:sz w:val="20"/>
        </w:rPr>
        <w:t>Preparación y presentación de reportes financieros y de sostenibilidad.</w:t>
      </w:r>
    </w:p>
    <w:p>
      <w:pPr>
        <w:numPr>
          <w:ilvl w:val="1"/>
          <w:numId w:val="907"/>
        </w:numPr>
        <w:spacing w:before="0" w:after="60" w:line="240" w:lineRule="auto"/>
        <w:jc w:val="both"/>
      </w:pPr>
      <w:r>
        <w:rPr>
          <w:rFonts w:ascii="Century Gothic" w:hAnsi="Century Gothic" w:cs="Century Gothic" w:eastAsia="Century Gothic"/>
          <w:b w:val="0"/>
          <w:i w:val="0"/>
          <w:sz w:val="20"/>
        </w:rPr>
        <w:t>Diseñar, operar y supervisar sistemas contables que generen el juego completo de estados financieros conforme a los marcos de referencia aplicables, en entidades públicas y privadas.</w:t>
      </w:r>
    </w:p>
    <w:p>
      <w:pPr>
        <w:numPr>
          <w:ilvl w:val="1"/>
          <w:numId w:val="907"/>
        </w:numPr>
        <w:spacing w:before="0" w:after="60" w:line="240" w:lineRule="auto"/>
        <w:jc w:val="both"/>
      </w:pPr>
      <w:r>
        <w:rPr>
          <w:rFonts w:ascii="Century Gothic" w:hAnsi="Century Gothic" w:cs="Century Gothic" w:eastAsia="Century Gothic"/>
          <w:b w:val="0"/>
          <w:i w:val="0"/>
          <w:sz w:val="20"/>
        </w:rPr>
        <w:t>Elaborar informes de sostenibilidad con indicadores ambientales, sociales y de gobernanza alineados con las Normas NIIF de Sostenibilidad del ISSB.</w:t>
      </w:r>
    </w:p>
    <w:p>
      <w:pPr>
        <w:numPr>
          <w:ilvl w:val="1"/>
          <w:numId w:val="907"/>
        </w:numPr>
        <w:spacing w:before="0" w:after="60" w:line="240" w:lineRule="auto"/>
        <w:jc w:val="both"/>
      </w:pPr>
      <w:r>
        <w:rPr>
          <w:rFonts w:ascii="Century Gothic" w:hAnsi="Century Gothic" w:cs="Century Gothic" w:eastAsia="Century Gothic"/>
          <w:b w:val="0"/>
          <w:i w:val="0"/>
          <w:sz w:val="20"/>
        </w:rPr>
        <w:t>Aplicar sistemas de gestión empresarial y soluciones de inteligencia artificial para asegurar la integridad, la trazabilidad y la oportunidad de la información.</w:t>
      </w:r>
    </w:p>
    <w:p>
      <w:pPr>
        <w:numPr>
          <w:ilvl w:val="0"/>
          <w:numId w:val="907"/>
        </w:numPr>
        <w:spacing w:before="0" w:after="160" w:line="240" w:lineRule="auto"/>
        <w:jc w:val="both"/>
      </w:pPr>
      <w:r>
        <w:rPr>
          <w:rFonts w:ascii="Century Gothic" w:hAnsi="Century Gothic" w:cs="Century Gothic" w:eastAsia="Century Gothic"/>
          <w:b/>
          <w:i w:val="0"/>
          <w:sz w:val="20"/>
        </w:rPr>
        <w:t>Prestación de encargos de aseguramiento y auditoría.</w:t>
      </w:r>
    </w:p>
    <w:p>
      <w:pPr>
        <w:numPr>
          <w:ilvl w:val="1"/>
          <w:numId w:val="907"/>
        </w:numPr>
        <w:spacing w:before="0" w:after="60" w:line="240" w:lineRule="auto"/>
        <w:jc w:val="both"/>
      </w:pPr>
      <w:r>
        <w:rPr>
          <w:rFonts w:ascii="Century Gothic" w:hAnsi="Century Gothic" w:cs="Century Gothic" w:eastAsia="Century Gothic"/>
          <w:b w:val="0"/>
          <w:i w:val="0"/>
          <w:sz w:val="20"/>
        </w:rPr>
        <w:t>Planificar y ejecutar auditorías de estados financieros bajo las NAGA y las NIA, para emitir una opinión independiente sobre su razonabilidad.</w:t>
      </w:r>
    </w:p>
    <w:p>
      <w:pPr>
        <w:numPr>
          <w:ilvl w:val="1"/>
          <w:numId w:val="907"/>
        </w:numPr>
        <w:spacing w:before="0" w:after="60" w:line="240" w:lineRule="auto"/>
        <w:jc w:val="both"/>
      </w:pPr>
      <w:r>
        <w:rPr>
          <w:rFonts w:ascii="Century Gothic" w:hAnsi="Century Gothic" w:cs="Century Gothic" w:eastAsia="Century Gothic"/>
          <w:b w:val="0"/>
          <w:i w:val="0"/>
          <w:sz w:val="20"/>
        </w:rPr>
        <w:t>Efectuar revisiones de información financiera bajo la NIER 2400, con un nivel de seguridad limitada.</w:t>
      </w:r>
    </w:p>
    <w:p>
      <w:pPr>
        <w:numPr>
          <w:ilvl w:val="1"/>
          <w:numId w:val="907"/>
        </w:numPr>
        <w:spacing w:before="0" w:after="60" w:line="240" w:lineRule="auto"/>
        <w:jc w:val="both"/>
      </w:pPr>
      <w:r>
        <w:rPr>
          <w:rFonts w:ascii="Century Gothic" w:hAnsi="Century Gothic" w:cs="Century Gothic" w:eastAsia="Century Gothic"/>
          <w:b w:val="0"/>
          <w:i w:val="0"/>
          <w:sz w:val="20"/>
        </w:rPr>
        <w:t>Desarrollar auditorías operativas, evaluaciones de desempeño y encargos de aseguramiento de información de sostenibilidad bajo la NIEA 3000 y la NIAS 5000.</w:t>
      </w:r>
    </w:p>
    <w:p>
      <w:pPr>
        <w:numPr>
          <w:ilvl w:val="1"/>
          <w:numId w:val="907"/>
        </w:numPr>
        <w:spacing w:before="0" w:after="60" w:line="240" w:lineRule="auto"/>
        <w:jc w:val="both"/>
      </w:pPr>
      <w:r>
        <w:rPr>
          <w:rFonts w:ascii="Century Gothic" w:hAnsi="Century Gothic" w:cs="Century Gothic" w:eastAsia="Century Gothic"/>
          <w:b w:val="0"/>
          <w:i w:val="0"/>
          <w:sz w:val="20"/>
        </w:rPr>
        <w:t>Ejecutar el control posterior externo en entidades del Estado bajo las normas de la Contraloría General del Estado y las ISSAI, velando por la eficacia, la economía, la transparencia y la legalidad en el uso de los recursos públicos.</w:t>
      </w:r>
    </w:p>
    <w:p>
      <w:pPr>
        <w:numPr>
          <w:ilvl w:val="1"/>
          <w:numId w:val="907"/>
        </w:numPr>
        <w:spacing w:before="0" w:after="60" w:line="240" w:lineRule="auto"/>
        <w:jc w:val="both"/>
      </w:pPr>
      <w:r>
        <w:rPr>
          <w:rFonts w:ascii="Century Gothic" w:hAnsi="Century Gothic" w:cs="Century Gothic" w:eastAsia="Century Gothic"/>
          <w:b w:val="0"/>
          <w:i w:val="0"/>
          <w:sz w:val="20"/>
        </w:rPr>
        <w:t>Evaluar la seguridad, la confiabilidad, la gobernanza digital y la ciberseguridad de las tecnologías que sustentan los sistemas financieros.</w:t>
      </w:r>
    </w:p>
    <w:p>
      <w:pPr>
        <w:numPr>
          <w:ilvl w:val="1"/>
          <w:numId w:val="907"/>
        </w:numPr>
        <w:spacing w:before="0" w:after="60" w:line="240" w:lineRule="auto"/>
        <w:jc w:val="both"/>
      </w:pPr>
      <w:r>
        <w:rPr>
          <w:rFonts w:ascii="Century Gothic" w:hAnsi="Century Gothic" w:cs="Century Gothic" w:eastAsia="Century Gothic"/>
          <w:b w:val="0"/>
          <w:i w:val="0"/>
          <w:sz w:val="20"/>
        </w:rPr>
        <w:t>Investigar fraudes, malversaciones, legitimación de ganancias ilícitas y distorsiones financieras, para proveer evidencia pericial.</w:t>
      </w:r>
    </w:p>
    <w:p>
      <w:pPr>
        <w:numPr>
          <w:ilvl w:val="1"/>
          <w:numId w:val="907"/>
        </w:numPr>
        <w:spacing w:before="0" w:after="60" w:line="240" w:lineRule="auto"/>
        <w:jc w:val="both"/>
      </w:pPr>
      <w:r>
        <w:rPr>
          <w:rFonts w:ascii="Century Gothic" w:hAnsi="Century Gothic" w:cs="Century Gothic" w:eastAsia="Century Gothic"/>
          <w:b w:val="0"/>
          <w:i w:val="0"/>
          <w:sz w:val="20"/>
        </w:rPr>
        <w:t>Examinar la determinación, liquidación y pago de obligaciones impositivas y laborales conforme a la legislación vigente.</w:t>
      </w:r>
    </w:p>
    <w:p>
      <w:pPr>
        <w:numPr>
          <w:ilvl w:val="0"/>
          <w:numId w:val="907"/>
        </w:numPr>
        <w:spacing w:before="0" w:after="160" w:line="240" w:lineRule="auto"/>
        <w:jc w:val="both"/>
      </w:pPr>
      <w:r>
        <w:rPr>
          <w:rFonts w:ascii="Century Gothic" w:hAnsi="Century Gothic" w:cs="Century Gothic" w:eastAsia="Century Gothic"/>
          <w:b/>
          <w:i w:val="0"/>
          <w:sz w:val="20"/>
        </w:rPr>
        <w:t>Servicios distintos del aseguramiento y consultoría.</w:t>
      </w:r>
    </w:p>
    <w:p>
      <w:pPr>
        <w:numPr>
          <w:ilvl w:val="1"/>
          <w:numId w:val="907"/>
        </w:numPr>
        <w:spacing w:before="0" w:after="60" w:line="240" w:lineRule="auto"/>
        <w:jc w:val="both"/>
      </w:pPr>
      <w:r>
        <w:rPr>
          <w:rFonts w:ascii="Century Gothic" w:hAnsi="Century Gothic" w:cs="Century Gothic" w:eastAsia="Century Gothic"/>
          <w:b w:val="0"/>
          <w:i w:val="0"/>
          <w:sz w:val="20"/>
        </w:rPr>
        <w:t>Realizar procedimientos acordados sobre materias financieras o de control y compilar estados financieros sin emitir conclusiones de aseguramiento.</w:t>
      </w:r>
    </w:p>
    <w:p>
      <w:pPr>
        <w:numPr>
          <w:ilvl w:val="1"/>
          <w:numId w:val="907"/>
        </w:numPr>
        <w:spacing w:before="0" w:after="60" w:line="240" w:lineRule="auto"/>
        <w:jc w:val="both"/>
      </w:pPr>
      <w:r>
        <w:rPr>
          <w:rFonts w:ascii="Century Gothic" w:hAnsi="Century Gothic" w:cs="Century Gothic" w:eastAsia="Century Gothic"/>
          <w:b w:val="0"/>
          <w:i w:val="0"/>
          <w:sz w:val="20"/>
        </w:rPr>
        <w:t>Brindar asesoría en gestión fiscal, cumplimiento tributario y precios de transferencia, previniendo contingencias legales.</w:t>
      </w:r>
    </w:p>
    <w:p>
      <w:pPr>
        <w:numPr>
          <w:ilvl w:val="1"/>
          <w:numId w:val="907"/>
        </w:numPr>
        <w:spacing w:before="0" w:after="60" w:line="240" w:lineRule="auto"/>
        <w:jc w:val="both"/>
      </w:pPr>
      <w:r>
        <w:rPr>
          <w:rFonts w:ascii="Century Gothic" w:hAnsi="Century Gothic" w:cs="Century Gothic" w:eastAsia="Century Gothic"/>
          <w:b w:val="0"/>
          <w:i w:val="0"/>
          <w:sz w:val="20"/>
        </w:rPr>
        <w:t>Diseñar e implementar marcos de gestión de riesgos empresariales y modelos de control interno.</w:t>
      </w:r>
    </w:p>
    <w:p>
      <w:pPr>
        <w:numPr>
          <w:ilvl w:val="1"/>
          <w:numId w:val="907"/>
        </w:numPr>
        <w:spacing w:before="0" w:after="200" w:line="240" w:lineRule="auto"/>
        <w:jc w:val="both"/>
      </w:pPr>
      <w:r>
        <w:rPr>
          <w:rFonts w:ascii="Century Gothic" w:hAnsi="Century Gothic" w:cs="Century Gothic" w:eastAsia="Century Gothic"/>
          <w:b w:val="0"/>
          <w:i w:val="0"/>
          <w:sz w:val="20"/>
        </w:rPr>
        <w:t>Asesorar en finanzas corporativas, proyectos de inversión, valoración de empresas, reestructuraciones y gestión del capital de trabajo.</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4.2.6</w:t>
        <w:tab/>
      </w:r>
      <w:r>
        <w:rPr>
          <w:rFonts w:ascii="Century Gothic" w:hAnsi="Century Gothic" w:cs="Century Gothic" w:eastAsia="Century Gothic"/>
          <w:b/>
          <w:i w:val="0"/>
          <w:sz w:val="22"/>
        </w:rPr>
        <w:t>Competencias específicas de la profesión</w:t>
      </w:r>
    </w:p>
    <w:p>
      <w:pPr>
        <w:spacing w:before="0" w:after="200" w:line="240" w:lineRule="auto"/>
        <w:jc w:val="both"/>
      </w:pPr>
      <w:r>
        <w:rPr>
          <w:rFonts w:ascii="Century Gothic" w:hAnsi="Century Gothic" w:cs="Century Gothic" w:eastAsia="Century Gothic"/>
          <w:b w:val="0"/>
          <w:i w:val="0"/>
          <w:sz w:val="20"/>
        </w:rPr>
        <w:t>Las competencias de la profesión son el conjunto articulado de conocimientos, habilidades, actitudes y valores éticos que el Contador Público Autorizado demuestra en desempeños observables para resolver problemas complejos en contextos cambiantes. Conforme a la Resolución HCU N.º 032/2025 y a la III-XIII Reunión Sectorial, se organizan en las tres dimensiones de la formación integral. Esta estructura atiende las prioridades del Future of Jobs Report 2025 del Foro Económico Mundial y las brechas identificadas por Ipsos CIESMORI, de 43 a 51 puntos porcentuales en habilidades tecnológicas, y la demanda del 88 % de los estudiantes por proyectos reales y pasantías.</w:t>
      </w:r>
    </w:p>
    <w:p>
      <w:pPr>
        <w:keepNext/>
        <w:spacing w:before="40" w:after="200" w:line="240" w:lineRule="auto"/>
        <w:jc w:val="left"/>
      </w:pPr>
      <w:r>
        <w:rPr>
          <w:rFonts w:ascii="Century Gothic" w:hAnsi="Century Gothic" w:cs="Century Gothic" w:eastAsia="Century Gothic"/>
          <w:b/>
          <w:i w:val="0"/>
          <w:sz w:val="22"/>
        </w:rPr>
        <w:t>Saber conocer: competencias cognitivas y disciplinares</w:t>
      </w:r>
    </w:p>
    <w:p>
      <w:pPr>
        <w:numPr>
          <w:ilvl w:val="0"/>
          <w:numId w:val="908"/>
        </w:numPr>
        <w:spacing w:before="0" w:after="160" w:line="240" w:lineRule="auto"/>
        <w:jc w:val="both"/>
      </w:pPr>
      <w:r>
        <w:rPr>
          <w:rFonts w:ascii="Century Gothic" w:hAnsi="Century Gothic" w:cs="Century Gothic" w:eastAsia="Century Gothic"/>
          <w:b/>
          <w:i w:val="0"/>
          <w:sz w:val="20"/>
        </w:rPr>
        <w:t>Marco contable y financiero nacional e internacional:</w:t>
      </w:r>
      <w:r>
        <w:rPr>
          <w:rFonts w:ascii="Century Gothic" w:hAnsi="Century Gothic" w:cs="Century Gothic" w:eastAsia="Century Gothic"/>
          <w:b w:val="0"/>
          <w:i w:val="0"/>
          <w:sz w:val="20"/>
        </w:rPr>
        <w:t xml:space="preserve"> comprende y domina la fundamentación de las Normas de Contabilidad Generalmente Aceptadas en Bolivia, las Normas NIIF de Contabilidad, la NIIF para las PYMES, las Normas Básicas del Sistema de Contabilidad Gubernamental Integrado y las NICSP para preparar estados financieros e informes de gestión.</w:t>
      </w:r>
    </w:p>
    <w:p>
      <w:pPr>
        <w:numPr>
          <w:ilvl w:val="0"/>
          <w:numId w:val="908"/>
        </w:numPr>
        <w:spacing w:before="0" w:after="160" w:line="240" w:lineRule="auto"/>
        <w:jc w:val="both"/>
      </w:pPr>
      <w:r>
        <w:rPr>
          <w:rFonts w:ascii="Century Gothic" w:hAnsi="Century Gothic" w:cs="Century Gothic" w:eastAsia="Century Gothic"/>
          <w:b/>
          <w:i w:val="0"/>
          <w:sz w:val="20"/>
        </w:rPr>
        <w:t>Marcos de aseguramiento y auditoría:</w:t>
      </w:r>
      <w:r>
        <w:rPr>
          <w:rFonts w:ascii="Century Gothic" w:hAnsi="Century Gothic" w:cs="Century Gothic" w:eastAsia="Century Gothic"/>
          <w:b w:val="0"/>
          <w:i w:val="0"/>
          <w:sz w:val="20"/>
        </w:rPr>
        <w:t xml:space="preserve"> domina las Normas de Auditoría Generalmente Aceptadas en Bolivia, las NIA, las NIEA, la NIAS 5000, las Normas de Auditoría Gubernamental y las ISSAI para planificar, ejecutar y evaluar auditorías financieras, gubernamentales, operativas, de control interno, de sistemas, ambientales y forenses.</w:t>
      </w:r>
    </w:p>
    <w:p>
      <w:pPr>
        <w:numPr>
          <w:ilvl w:val="0"/>
          <w:numId w:val="908"/>
        </w:numPr>
        <w:spacing w:before="0" w:after="160" w:line="240" w:lineRule="auto"/>
        <w:jc w:val="both"/>
      </w:pPr>
      <w:r>
        <w:rPr>
          <w:rFonts w:ascii="Century Gothic" w:hAnsi="Century Gothic" w:cs="Century Gothic" w:eastAsia="Century Gothic"/>
          <w:b/>
          <w:i w:val="0"/>
          <w:sz w:val="20"/>
        </w:rPr>
        <w:t>Sostenibilidad:</w:t>
      </w:r>
      <w:r>
        <w:rPr>
          <w:rFonts w:ascii="Century Gothic" w:hAnsi="Century Gothic" w:cs="Century Gothic" w:eastAsia="Century Gothic"/>
          <w:b w:val="0"/>
          <w:i w:val="0"/>
          <w:sz w:val="20"/>
        </w:rPr>
        <w:t xml:space="preserve"> comprende los conceptos y directrices de las Normas NIIF de Sostenibilidad para la medición, revelación y aseguramiento de la información ambiental, social y de gobernanza.</w:t>
      </w:r>
    </w:p>
    <w:p>
      <w:pPr>
        <w:numPr>
          <w:ilvl w:val="0"/>
          <w:numId w:val="908"/>
        </w:numPr>
        <w:spacing w:before="0" w:after="160" w:line="240" w:lineRule="auto"/>
        <w:jc w:val="both"/>
      </w:pPr>
      <w:r>
        <w:rPr>
          <w:rFonts w:ascii="Century Gothic" w:hAnsi="Century Gothic" w:cs="Century Gothic" w:eastAsia="Century Gothic"/>
          <w:b/>
          <w:i w:val="0"/>
          <w:sz w:val="20"/>
        </w:rPr>
        <w:t>Gobernanza digital, ciberseguridad y tecnologías emergentes:</w:t>
      </w:r>
      <w:r>
        <w:rPr>
          <w:rFonts w:ascii="Century Gothic" w:hAnsi="Century Gothic" w:cs="Century Gothic" w:eastAsia="Century Gothic"/>
          <w:b w:val="0"/>
          <w:i w:val="0"/>
          <w:sz w:val="20"/>
        </w:rPr>
        <w:t xml:space="preserve"> comprende la teoría de sistemas de información, la gobernanza de datos, el control interno en entornos informatizados y los fundamentos de la inteligencia artificial y la analítica de datos aplicadas a las finanzas.</w:t>
      </w:r>
    </w:p>
    <w:p>
      <w:pPr>
        <w:numPr>
          <w:ilvl w:val="0"/>
          <w:numId w:val="908"/>
        </w:numPr>
        <w:spacing w:before="0" w:after="160" w:line="240" w:lineRule="auto"/>
        <w:jc w:val="both"/>
      </w:pPr>
      <w:r>
        <w:rPr>
          <w:rFonts w:ascii="Century Gothic" w:hAnsi="Century Gothic" w:cs="Century Gothic" w:eastAsia="Century Gothic"/>
          <w:b/>
          <w:i w:val="0"/>
          <w:sz w:val="20"/>
        </w:rPr>
        <w:t>Marco legal:</w:t>
      </w:r>
      <w:r>
        <w:rPr>
          <w:rFonts w:ascii="Century Gothic" w:hAnsi="Century Gothic" w:cs="Century Gothic" w:eastAsia="Century Gothic"/>
          <w:b w:val="0"/>
          <w:i w:val="0"/>
          <w:sz w:val="20"/>
        </w:rPr>
        <w:t xml:space="preserve"> domina la legislación tributaria, laboral, comercial, regulatoria y administrativa boliviana para prevenir contingencias jurídicas y tributarias.</w:t>
      </w:r>
    </w:p>
    <w:p>
      <w:pPr>
        <w:numPr>
          <w:ilvl w:val="0"/>
          <w:numId w:val="908"/>
        </w:numPr>
        <w:spacing w:before="0" w:after="200" w:line="240" w:lineRule="auto"/>
        <w:jc w:val="both"/>
      </w:pPr>
      <w:r>
        <w:rPr>
          <w:rFonts w:ascii="Century Gothic" w:hAnsi="Century Gothic" w:cs="Century Gothic" w:eastAsia="Century Gothic"/>
          <w:b/>
          <w:i w:val="0"/>
          <w:sz w:val="20"/>
        </w:rPr>
        <w:t>Finanzas y gestión integral de riesgos:</w:t>
      </w:r>
      <w:r>
        <w:rPr>
          <w:rFonts w:ascii="Century Gothic" w:hAnsi="Century Gothic" w:cs="Century Gothic" w:eastAsia="Century Gothic"/>
          <w:b w:val="0"/>
          <w:i w:val="0"/>
          <w:sz w:val="20"/>
        </w:rPr>
        <w:t xml:space="preserve"> conoce la valoración de empresas, los mercados de capitales, las matemáticas financieras y actuariales, los presupuestos y los modelos de gestión de riesgos empresariales.</w:t>
      </w:r>
    </w:p>
    <w:p>
      <w:pPr>
        <w:keepNext/>
        <w:spacing w:before="40" w:after="200" w:line="240" w:lineRule="auto"/>
        <w:jc w:val="left"/>
      </w:pPr>
      <w:r>
        <w:rPr>
          <w:rFonts w:ascii="Century Gothic" w:hAnsi="Century Gothic" w:cs="Century Gothic" w:eastAsia="Century Gothic"/>
          <w:b/>
          <w:i w:val="0"/>
          <w:sz w:val="22"/>
        </w:rPr>
        <w:t>Saber hacer: competencias procedimentales y técnicas</w:t>
      </w:r>
    </w:p>
    <w:p>
      <w:pPr>
        <w:numPr>
          <w:ilvl w:val="0"/>
          <w:numId w:val="909"/>
        </w:numPr>
        <w:spacing w:before="0" w:after="160" w:line="240" w:lineRule="auto"/>
        <w:jc w:val="both"/>
      </w:pPr>
      <w:r>
        <w:rPr>
          <w:rFonts w:ascii="Century Gothic" w:hAnsi="Century Gothic" w:cs="Century Gothic" w:eastAsia="Century Gothic"/>
          <w:b/>
          <w:i w:val="0"/>
          <w:sz w:val="20"/>
        </w:rPr>
        <w:t>Operación de sistemas contables, de gestión empresarial y plataformas tributarias:</w:t>
      </w:r>
      <w:r>
        <w:rPr>
          <w:rFonts w:ascii="Century Gothic" w:hAnsi="Century Gothic" w:cs="Century Gothic" w:eastAsia="Century Gothic"/>
          <w:b w:val="0"/>
          <w:i w:val="0"/>
          <w:sz w:val="20"/>
        </w:rPr>
        <w:t xml:space="preserve"> aplica software especializado, plataformas del Servicio de Impuestos Nacionales y sistemas de gestión pública, competencia que el 75 % de los egresados considera necesaria.</w:t>
      </w:r>
    </w:p>
    <w:p>
      <w:pPr>
        <w:numPr>
          <w:ilvl w:val="0"/>
          <w:numId w:val="909"/>
        </w:numPr>
        <w:spacing w:before="0" w:after="160" w:line="240" w:lineRule="auto"/>
        <w:jc w:val="both"/>
      </w:pPr>
      <w:r>
        <w:rPr>
          <w:rFonts w:ascii="Century Gothic" w:hAnsi="Century Gothic" w:cs="Century Gothic" w:eastAsia="Century Gothic"/>
          <w:b/>
          <w:i w:val="0"/>
          <w:sz w:val="20"/>
        </w:rPr>
        <w:t>Analítica de datos e inteligencia artificial aplicada:</w:t>
      </w:r>
      <w:r>
        <w:rPr>
          <w:rFonts w:ascii="Century Gothic" w:hAnsi="Century Gothic" w:cs="Century Gothic" w:eastAsia="Century Gothic"/>
          <w:b w:val="0"/>
          <w:i w:val="0"/>
          <w:sz w:val="20"/>
        </w:rPr>
        <w:t xml:space="preserve"> utiliza herramientas de inteligencia de negocios, lenguajes de análisis cuantitativo e inteligencia artificial generativa para analizar datos financieros, detectar patrones atípicos y elaborar modelos predictivos.</w:t>
      </w:r>
    </w:p>
    <w:p>
      <w:pPr>
        <w:numPr>
          <w:ilvl w:val="0"/>
          <w:numId w:val="909"/>
        </w:numPr>
        <w:spacing w:before="0" w:after="160" w:line="240" w:lineRule="auto"/>
        <w:jc w:val="both"/>
      </w:pPr>
      <w:r>
        <w:rPr>
          <w:rFonts w:ascii="Century Gothic" w:hAnsi="Century Gothic" w:cs="Century Gothic" w:eastAsia="Century Gothic"/>
          <w:b/>
          <w:i w:val="0"/>
          <w:sz w:val="20"/>
        </w:rPr>
        <w:t>Auditoría con enfoque de riesgo:</w:t>
      </w:r>
      <w:r>
        <w:rPr>
          <w:rFonts w:ascii="Century Gothic" w:hAnsi="Century Gothic" w:cs="Century Gothic" w:eastAsia="Century Gothic"/>
          <w:b w:val="0"/>
          <w:i w:val="0"/>
          <w:sz w:val="20"/>
        </w:rPr>
        <w:t xml:space="preserve"> elabora programas de auditoría, papeles de trabajo digitales y muestreos estadísticos, y emite informes sustentados en evidencia suficiente y adecuada.</w:t>
      </w:r>
    </w:p>
    <w:p>
      <w:pPr>
        <w:numPr>
          <w:ilvl w:val="0"/>
          <w:numId w:val="909"/>
        </w:numPr>
        <w:spacing w:before="0" w:after="160" w:line="240" w:lineRule="auto"/>
        <w:jc w:val="both"/>
      </w:pPr>
      <w:r>
        <w:rPr>
          <w:rFonts w:ascii="Century Gothic" w:hAnsi="Century Gothic" w:cs="Century Gothic" w:eastAsia="Century Gothic"/>
          <w:b/>
          <w:i w:val="0"/>
          <w:sz w:val="20"/>
        </w:rPr>
        <w:t>Reportes y aseguramiento de sostenibilidad:</w:t>
      </w:r>
      <w:r>
        <w:rPr>
          <w:rFonts w:ascii="Century Gothic" w:hAnsi="Century Gothic" w:cs="Century Gothic" w:eastAsia="Century Gothic"/>
          <w:b w:val="0"/>
          <w:i w:val="0"/>
          <w:sz w:val="20"/>
        </w:rPr>
        <w:t xml:space="preserve"> construye indicadores de sostenibilidad y aplica procedimientos de seguridad limitada y razonable sobre informes de impacto social y ambiental.</w:t>
      </w:r>
    </w:p>
    <w:p>
      <w:pPr>
        <w:numPr>
          <w:ilvl w:val="0"/>
          <w:numId w:val="909"/>
        </w:numPr>
        <w:spacing w:before="0" w:after="160" w:line="240" w:lineRule="auto"/>
        <w:jc w:val="both"/>
      </w:pPr>
      <w:r>
        <w:rPr>
          <w:rFonts w:ascii="Century Gothic" w:hAnsi="Century Gothic" w:cs="Century Gothic" w:eastAsia="Century Gothic"/>
          <w:b/>
          <w:i w:val="0"/>
          <w:sz w:val="20"/>
        </w:rPr>
        <w:t>Práctica tributaria y cierre de estados financieros:</w:t>
      </w:r>
      <w:r>
        <w:rPr>
          <w:rFonts w:ascii="Century Gothic" w:hAnsi="Century Gothic" w:cs="Century Gothic" w:eastAsia="Century Gothic"/>
          <w:b w:val="0"/>
          <w:i w:val="0"/>
          <w:sz w:val="20"/>
        </w:rPr>
        <w:t xml:space="preserve"> efectúa conciliaciones, liquidaciones de tributos, declaraciones juradas y cierres contables con apego a la norma vigente.</w:t>
      </w:r>
    </w:p>
    <w:p>
      <w:pPr>
        <w:numPr>
          <w:ilvl w:val="0"/>
          <w:numId w:val="909"/>
        </w:numPr>
        <w:spacing w:before="0" w:after="200" w:line="240" w:lineRule="auto"/>
        <w:jc w:val="both"/>
      </w:pPr>
      <w:r>
        <w:rPr>
          <w:rFonts w:ascii="Century Gothic" w:hAnsi="Century Gothic" w:cs="Century Gothic" w:eastAsia="Century Gothic"/>
          <w:b/>
          <w:i w:val="0"/>
          <w:sz w:val="20"/>
        </w:rPr>
        <w:t>Análisis forense y peritaje contable:</w:t>
      </w:r>
      <w:r>
        <w:rPr>
          <w:rFonts w:ascii="Century Gothic" w:hAnsi="Century Gothic" w:cs="Century Gothic" w:eastAsia="Century Gothic"/>
          <w:b w:val="0"/>
          <w:i w:val="0"/>
          <w:sz w:val="20"/>
        </w:rPr>
        <w:t xml:space="preserve"> diseña procedimientos de investigación ante sospechas de fraude, malversación o legitimación de ganancias ilícitas y elabora informes periciales.</w:t>
      </w:r>
    </w:p>
    <w:p>
      <w:pPr>
        <w:keepNext/>
        <w:spacing w:before="40" w:after="200" w:line="240" w:lineRule="auto"/>
        <w:jc w:val="left"/>
      </w:pPr>
      <w:r>
        <w:rPr>
          <w:rFonts w:ascii="Century Gothic" w:hAnsi="Century Gothic" w:cs="Century Gothic" w:eastAsia="Century Gothic"/>
          <w:b/>
          <w:i w:val="0"/>
          <w:sz w:val="22"/>
        </w:rPr>
        <w:t>Saber ser y convivir: competencias actitudinales, éticas y socioemocionales</w:t>
      </w:r>
    </w:p>
    <w:p>
      <w:pPr>
        <w:numPr>
          <w:ilvl w:val="0"/>
          <w:numId w:val="910"/>
        </w:numPr>
        <w:spacing w:before="0" w:after="160" w:line="240" w:lineRule="auto"/>
        <w:jc w:val="both"/>
      </w:pPr>
      <w:r>
        <w:rPr>
          <w:rFonts w:ascii="Century Gothic" w:hAnsi="Century Gothic" w:cs="Century Gothic" w:eastAsia="Century Gothic"/>
          <w:b/>
          <w:i w:val="0"/>
          <w:sz w:val="20"/>
        </w:rPr>
        <w:t>Integridad, independencia y ética profesional:</w:t>
      </w:r>
      <w:r>
        <w:rPr>
          <w:rFonts w:ascii="Century Gothic" w:hAnsi="Century Gothic" w:cs="Century Gothic" w:eastAsia="Century Gothic"/>
          <w:b w:val="0"/>
          <w:i w:val="0"/>
          <w:sz w:val="20"/>
        </w:rPr>
        <w:t xml:space="preserve"> aplica los principios del Código de Ética del IESBA ante presiones o conflictos de interés. El 82 % de los estudiantes considera prioritaria la ética aplicada.</w:t>
      </w:r>
    </w:p>
    <w:p>
      <w:pPr>
        <w:numPr>
          <w:ilvl w:val="0"/>
          <w:numId w:val="910"/>
        </w:numPr>
        <w:spacing w:before="0" w:after="160" w:line="240" w:lineRule="auto"/>
        <w:jc w:val="both"/>
      </w:pPr>
      <w:r>
        <w:rPr>
          <w:rFonts w:ascii="Century Gothic" w:hAnsi="Century Gothic" w:cs="Century Gothic" w:eastAsia="Century Gothic"/>
          <w:b/>
          <w:i w:val="0"/>
          <w:sz w:val="20"/>
        </w:rPr>
        <w:t>Adaptabilidad y aprendizaje a lo largo de la vida:</w:t>
      </w:r>
      <w:r>
        <w:rPr>
          <w:rFonts w:ascii="Century Gothic" w:hAnsi="Century Gothic" w:cs="Century Gothic" w:eastAsia="Century Gothic"/>
          <w:b w:val="0"/>
          <w:i w:val="0"/>
          <w:sz w:val="20"/>
        </w:rPr>
        <w:t xml:space="preserve"> se adapta con rapidez a las reformas normativas, tecnológicas y económicas; el 70 % de los egresados señala que esta actitud se enseñó con baja frecuencia.</w:t>
      </w:r>
    </w:p>
    <w:p>
      <w:pPr>
        <w:numPr>
          <w:ilvl w:val="0"/>
          <w:numId w:val="910"/>
        </w:numPr>
        <w:spacing w:before="0" w:after="160" w:line="240" w:lineRule="auto"/>
        <w:jc w:val="both"/>
      </w:pPr>
      <w:r>
        <w:rPr>
          <w:rFonts w:ascii="Century Gothic" w:hAnsi="Century Gothic" w:cs="Century Gothic" w:eastAsia="Century Gothic"/>
          <w:b/>
          <w:i w:val="0"/>
          <w:sz w:val="20"/>
        </w:rPr>
        <w:t>Pensamiento crítico y juicio profesional:</w:t>
      </w:r>
      <w:r>
        <w:rPr>
          <w:rFonts w:ascii="Century Gothic" w:hAnsi="Century Gothic" w:cs="Century Gothic" w:eastAsia="Century Gothic"/>
          <w:b w:val="0"/>
          <w:i w:val="0"/>
          <w:sz w:val="20"/>
        </w:rPr>
        <w:t xml:space="preserve"> analiza la evidencia de manera imparcial, cuestiona supuestos e identifica riesgos no explícitos, para cerrar la brecha de 25 puntos porcentuales entre la necesidad y la formación en esta competencia.</w:t>
      </w:r>
    </w:p>
    <w:p>
      <w:pPr>
        <w:numPr>
          <w:ilvl w:val="0"/>
          <w:numId w:val="910"/>
        </w:numPr>
        <w:spacing w:before="0" w:after="160" w:line="240" w:lineRule="auto"/>
        <w:jc w:val="both"/>
      </w:pPr>
      <w:r>
        <w:rPr>
          <w:rFonts w:ascii="Century Gothic" w:hAnsi="Century Gothic" w:cs="Century Gothic" w:eastAsia="Century Gothic"/>
          <w:b/>
          <w:i w:val="0"/>
          <w:sz w:val="20"/>
        </w:rPr>
        <w:t>Trabajo colaborativo y comunicación efectiva:</w:t>
      </w:r>
      <w:r>
        <w:rPr>
          <w:rFonts w:ascii="Century Gothic" w:hAnsi="Century Gothic" w:cs="Century Gothic" w:eastAsia="Century Gothic"/>
          <w:b w:val="0"/>
          <w:i w:val="0"/>
          <w:sz w:val="20"/>
        </w:rPr>
        <w:t xml:space="preserve"> se desenvuelve con liderazgo en equipos multidisciplinarios y se comunica con claridad, de forma oral y escrita, en español e inglés técnico contable.</w:t>
      </w:r>
    </w:p>
    <w:p>
      <w:pPr>
        <w:numPr>
          <w:ilvl w:val="0"/>
          <w:numId w:val="910"/>
        </w:numPr>
        <w:spacing w:before="0" w:after="200" w:line="240" w:lineRule="auto"/>
        <w:jc w:val="both"/>
      </w:pPr>
      <w:r>
        <w:rPr>
          <w:rFonts w:ascii="Century Gothic" w:hAnsi="Century Gothic" w:cs="Century Gothic" w:eastAsia="Century Gothic"/>
          <w:b/>
          <w:i w:val="0"/>
          <w:sz w:val="20"/>
        </w:rPr>
        <w:t>Responsabilidad social y conciencia ambiental:</w:t>
      </w:r>
      <w:r>
        <w:rPr>
          <w:rFonts w:ascii="Century Gothic" w:hAnsi="Century Gothic" w:cs="Century Gothic" w:eastAsia="Century Gothic"/>
          <w:b w:val="0"/>
          <w:i w:val="0"/>
          <w:sz w:val="20"/>
        </w:rPr>
        <w:t xml:space="preserve"> orienta su ejercicio hacia la transparencia pública, la lucha contra la corrupción y la sostenibilidad.</w:t>
      </w:r>
    </w:p>
    <w:p>
      <w:pPr>
        <w:keepNext/>
        <w:spacing w:before="40" w:after="80" w:line="240" w:lineRule="auto"/>
        <w:jc w:val="center"/>
      </w:pPr>
      <w:r>
        <w:rPr>
          <w:rFonts w:ascii="Century Gothic" w:hAnsi="Century Gothic" w:cs="Century Gothic" w:eastAsia="Century Gothic"/>
          <w:b/>
          <w:i w:val="0"/>
          <w:sz w:val="20"/>
        </w:rPr>
        <w:t>Cuadro 3. Matriz resumen de las competencias del Contador Público Autorizado</w:t>
      </w:r>
    </w:p>
    <w:tbl>
      <w:tblPr>
        <w:tblW w:type="auto" w:w="0"/>
        <w:jc w:val="center"/>
        <w:tblLayout w:type="fixed"/>
        <w:tblLook w:firstColumn="1" w:firstRow="1" w:lastColumn="0" w:lastRow="0" w:noHBand="0" w:noVBand="1" w:val="04A0"/>
      </w:tblPr>
      <w:tblGrid>
        <w:gridCol w:w="1701"/>
        <w:gridCol w:w="4252"/>
        <w:gridCol w:w="3118"/>
      </w:tblGrid>
      <w:tr>
        <w:trPr>
          <w:tblHeader/>
        </w:trPr>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Dimensión</w:t>
            </w:r>
          </w:p>
        </w:tc>
        <w:tc>
          <w:tcPr>
            <w:tcW w:type="dxa" w:w="425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Componentes principales de formación</w:t>
            </w:r>
          </w:p>
        </w:tc>
        <w:tc>
          <w:tcPr>
            <w:tcW w:type="dxa" w:w="31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Sustento</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Saber conocer</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Normas contables nacionales, NIIF, NIIF para las PYMES, normas del sector público y NICSP</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NIA, NIEA, NIAS, Normas de Auditoría Gubernamental, ISSAI y Ley N.º 1178</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Normas NIIF de Sostenibilidad</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Legislación tributaria, laboral y comercial</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Gobernanza de datos, ciberseguridad, control interno y gestión de riesgos</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III-XIII Reunión Sectorial, 2024</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IES 1 a IES 8 de la IFAC</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Artículo 12 de la Resolución HCU N.º 032/2025</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Saber hacer</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Sistemas de gestión empresarial, software contable y plataformas del SIN</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Analítica de datos e inteligencia de negocios</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Aseguramiento de información financiera y no financiera</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Papeles de trabajo digitales y auditoría basada en riesgos</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Auditoría forense e informes periciales</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Brecha tecnológica de 43 a 51 puntos, Ipsos CIESMORI 2025</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88 % demanda prácticas y proyectos reales</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Foro Económico Mundial 2025</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Saber ser y convivir</w:t>
            </w:r>
          </w:p>
        </w:tc>
        <w:tc>
          <w:tcPr>
            <w:tcW w:type="dxa" w:w="4252"/>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Ética e independencia bajo el Código del IESBA</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Responsabilidad pública y social</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Adaptabilidad</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Pensamiento crítico e investigación</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Comunicación en español e inglés técnico</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82 % demanda ética aplicada</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IES 4 de la IFAC</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Brechas de 25 a 40 puntos en competencias actitudinales</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El logro de estas competencias se verifica mediante evaluación auténtica del desempeño, como se establece en el punto 4.7.</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4.2.7</w:t>
        <w:tab/>
      </w:r>
      <w:r>
        <w:rPr>
          <w:rFonts w:ascii="Century Gothic" w:hAnsi="Century Gothic" w:cs="Century Gothic" w:eastAsia="Century Gothic"/>
          <w:b/>
          <w:i w:val="0"/>
          <w:sz w:val="22"/>
        </w:rPr>
        <w:t>Perfil profesional</w:t>
      </w:r>
    </w:p>
    <w:p>
      <w:pPr>
        <w:spacing w:before="0" w:after="200" w:line="240" w:lineRule="auto"/>
        <w:jc w:val="both"/>
      </w:pPr>
      <w:r>
        <w:rPr>
          <w:rFonts w:ascii="Century Gothic" w:hAnsi="Century Gothic" w:cs="Century Gothic" w:eastAsia="Century Gothic"/>
          <w:b w:val="0"/>
          <w:i w:val="0"/>
          <w:sz w:val="20"/>
        </w:rPr>
        <w:t>El perfil del Contador Público Autorizado es la descripción integrada del profesional que la UMSA entregará a la sociedad. Traduce el análisis de los subpuntos anteriores en la declaración oficial del perfil, en cumplimiento de la Resolución HCU N.º 032/2025 y en concordancia con el perfil aprobado para el Sistema de la Universidad Boliviana por la Resolución N.º 07/2024. Para cumplir con este perfil, el profesional formado en la Carrera reúne cuatro requisitos:</w:t>
      </w:r>
    </w:p>
    <w:p>
      <w:pPr>
        <w:numPr>
          <w:ilvl w:val="0"/>
          <w:numId w:val="911"/>
        </w:numPr>
        <w:spacing w:before="0" w:after="160" w:line="240" w:lineRule="auto"/>
        <w:jc w:val="both"/>
      </w:pPr>
      <w:r>
        <w:rPr>
          <w:rFonts w:ascii="Century Gothic" w:hAnsi="Century Gothic" w:cs="Century Gothic" w:eastAsia="Century Gothic"/>
          <w:b/>
          <w:i w:val="0"/>
          <w:sz w:val="20"/>
        </w:rPr>
        <w:t>Sólida base teórica y práctica especializada:</w:t>
      </w:r>
      <w:r>
        <w:rPr>
          <w:rFonts w:ascii="Century Gothic" w:hAnsi="Century Gothic" w:cs="Century Gothic" w:eastAsia="Century Gothic"/>
          <w:b w:val="0"/>
          <w:i w:val="0"/>
          <w:sz w:val="20"/>
        </w:rPr>
        <w:t xml:space="preserve"> conocimientos científicos, técnicos y tecnológicos que le permiten analizar, decidir y resolver problemas organizacionales complejos.</w:t>
      </w:r>
    </w:p>
    <w:p>
      <w:pPr>
        <w:numPr>
          <w:ilvl w:val="0"/>
          <w:numId w:val="911"/>
        </w:numPr>
        <w:spacing w:before="0" w:after="160" w:line="240" w:lineRule="auto"/>
        <w:jc w:val="both"/>
      </w:pPr>
      <w:r>
        <w:rPr>
          <w:rFonts w:ascii="Century Gothic" w:hAnsi="Century Gothic" w:cs="Century Gothic" w:eastAsia="Century Gothic"/>
          <w:b/>
          <w:i w:val="0"/>
          <w:sz w:val="20"/>
        </w:rPr>
        <w:t>Capacidad analítica, crítica y propositiva:</w:t>
      </w:r>
      <w:r>
        <w:rPr>
          <w:rFonts w:ascii="Century Gothic" w:hAnsi="Century Gothic" w:cs="Century Gothic" w:eastAsia="Century Gothic"/>
          <w:b w:val="0"/>
          <w:i w:val="0"/>
          <w:sz w:val="20"/>
        </w:rPr>
        <w:t xml:space="preserve"> postura intelectual reflexiva, objetiva e innovadora, abierta a alternativas diversas.</w:t>
      </w:r>
    </w:p>
    <w:p>
      <w:pPr>
        <w:numPr>
          <w:ilvl w:val="0"/>
          <w:numId w:val="911"/>
        </w:numPr>
        <w:spacing w:before="0" w:after="160" w:line="240" w:lineRule="auto"/>
        <w:jc w:val="both"/>
      </w:pPr>
      <w:r>
        <w:rPr>
          <w:rFonts w:ascii="Century Gothic" w:hAnsi="Century Gothic" w:cs="Century Gothic" w:eastAsia="Century Gothic"/>
          <w:b/>
          <w:i w:val="0"/>
          <w:sz w:val="20"/>
        </w:rPr>
        <w:t>Vocación de servicio e impacto socioeconómico:</w:t>
      </w:r>
      <w:r>
        <w:rPr>
          <w:rFonts w:ascii="Century Gothic" w:hAnsi="Century Gothic" w:cs="Century Gothic" w:eastAsia="Century Gothic"/>
          <w:b w:val="0"/>
          <w:i w:val="0"/>
          <w:sz w:val="20"/>
        </w:rPr>
        <w:t xml:space="preserve"> orienta su ejercicio al servicio de la comunidad, la transparencia pública, la seguridad jurídica y el desarrollo sostenible del país.</w:t>
      </w:r>
    </w:p>
    <w:p>
      <w:pPr>
        <w:numPr>
          <w:ilvl w:val="0"/>
          <w:numId w:val="911"/>
        </w:numPr>
        <w:spacing w:before="0" w:after="200" w:line="240" w:lineRule="auto"/>
        <w:jc w:val="both"/>
      </w:pPr>
      <w:r>
        <w:rPr>
          <w:rFonts w:ascii="Century Gothic" w:hAnsi="Century Gothic" w:cs="Century Gothic" w:eastAsia="Century Gothic"/>
          <w:b/>
          <w:i w:val="0"/>
          <w:sz w:val="20"/>
        </w:rPr>
        <w:t>Rigor ético y responsabilidad pública:</w:t>
      </w:r>
      <w:r>
        <w:rPr>
          <w:rFonts w:ascii="Century Gothic" w:hAnsi="Century Gothic" w:cs="Century Gothic" w:eastAsia="Century Gothic"/>
          <w:b w:val="0"/>
          <w:i w:val="0"/>
          <w:sz w:val="20"/>
        </w:rPr>
        <w:t xml:space="preserve"> actúa con responsabilidad social y moral, consciente del impacto de sus opiniones, informes y decisiones sobre las organizaciones y el interés público.</w:t>
      </w:r>
    </w:p>
    <w:p>
      <w:pPr>
        <w:keepNext/>
        <w:spacing w:before="40" w:after="200" w:line="240" w:lineRule="auto"/>
        <w:jc w:val="left"/>
      </w:pPr>
      <w:r>
        <w:rPr>
          <w:rFonts w:ascii="Century Gothic" w:hAnsi="Century Gothic" w:cs="Century Gothic" w:eastAsia="Century Gothic"/>
          <w:b/>
          <w:i w:val="0"/>
          <w:sz w:val="22"/>
        </w:rPr>
        <w:t>Declaración del perfil profesional</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Perfil del Contador Público Autorizado de la UMSA</w:t>
            </w:r>
          </w:p>
          <w:p>
            <w:pPr>
              <w:spacing w:before="60" w:after="60" w:line="240" w:lineRule="auto"/>
              <w:jc w:val="both"/>
            </w:pPr>
            <w:r>
              <w:rPr>
                <w:rFonts w:ascii="Century Gothic" w:hAnsi="Century Gothic" w:cs="Century Gothic" w:eastAsia="Century Gothic"/>
                <w:b w:val="0"/>
                <w:i/>
                <w:sz w:val="20"/>
              </w:rPr>
              <w:t>El Contador Público Autorizado de la Universidad Mayor de San Andrés es un profesional integral y estratégico con sólida formación científica, técnica y humanística en las áreas de Contabilidad, Auditoría, Aseguramiento y Finanzas. Su perfil se complementa con un dominio multidisciplinario en administración, economía, derecho corporativo y tributario, control interno, gestión de riesgos, gobernanza digital e inteligencia de negocios.</w:t>
            </w:r>
          </w:p>
          <w:p>
            <w:pPr>
              <w:spacing w:before="60" w:after="60" w:line="240" w:lineRule="auto"/>
              <w:jc w:val="both"/>
            </w:pPr>
            <w:r>
              <w:rPr>
                <w:rFonts w:ascii="Century Gothic" w:hAnsi="Century Gothic" w:cs="Century Gothic" w:eastAsia="Century Gothic"/>
                <w:b w:val="0"/>
                <w:i/>
                <w:sz w:val="20"/>
              </w:rPr>
              <w:t>Está calificado para diseñar, operar, evaluar y auditar sistemas integrados de información económica, financiera y no financiera, incorporando estándares nacionales e internacionales y herramientas de tecnologías emergentes, como la inteligencia artificial, la analítica de datos y la automatización de procesos, para respaldar la toma de decisiones en entornos inciertos y complejos.</w:t>
            </w:r>
          </w:p>
          <w:p>
            <w:pPr>
              <w:spacing w:before="60" w:after="60" w:line="240" w:lineRule="auto"/>
              <w:jc w:val="both"/>
            </w:pPr>
            <w:r>
              <w:rPr>
                <w:rFonts w:ascii="Century Gothic" w:hAnsi="Century Gothic" w:cs="Century Gothic" w:eastAsia="Century Gothic"/>
                <w:b w:val="0"/>
                <w:i/>
                <w:sz w:val="20"/>
              </w:rPr>
              <w:t>Aporta valor a través de servicios de aseguramiento de la información, en auditoría financiera, gubernamental, operativa, de sistemas, ambiental y forense, la evaluación del control interno y la consultoría en sostenibilidad y cumplimiento normativo. Su desempeño se sustenta en una conciencia crítica e investigativa, capacidad analítica, liderazgo, adaptabilidad, dominio del inglés técnico contable y una rigurosa ética profesional alineada al Código Internacional de Ética del IESBA, garantizando el interés público y la transparencia ante la sociedad y el Estado.</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Atributos del egresado</w:t>
      </w:r>
    </w:p>
    <w:p>
      <w:pPr>
        <w:spacing w:before="0" w:after="200" w:line="240" w:lineRule="auto"/>
        <w:jc w:val="both"/>
      </w:pPr>
      <w:r>
        <w:rPr>
          <w:rFonts w:ascii="Century Gothic" w:hAnsi="Century Gothic" w:cs="Century Gothic" w:eastAsia="Century Gothic"/>
          <w:b w:val="0"/>
          <w:i w:val="0"/>
          <w:sz w:val="20"/>
        </w:rPr>
        <w:t>Para facilitar la evaluación ex ante del plan y la construcción del mapa de competencias, el perfil se expresa en tres grupos de atributos:</w:t>
      </w:r>
    </w:p>
    <w:p>
      <w:pPr>
        <w:spacing w:before="0" w:after="200" w:line="240" w:lineRule="auto"/>
        <w:jc w:val="both"/>
      </w:pPr>
      <w:r>
        <w:rPr>
          <w:rFonts w:ascii="Century Gothic" w:hAnsi="Century Gothic" w:cs="Century Gothic" w:eastAsia="Century Gothic"/>
          <w:b/>
          <w:i w:val="0"/>
          <w:sz w:val="20"/>
        </w:rPr>
        <w:t>Atributos académicos y disciplinares, saber conocer:</w:t>
      </w:r>
    </w:p>
    <w:p>
      <w:pPr>
        <w:numPr>
          <w:ilvl w:val="0"/>
          <w:numId w:val="912"/>
        </w:numPr>
        <w:spacing w:before="0" w:after="160" w:line="240" w:lineRule="auto"/>
        <w:jc w:val="both"/>
      </w:pPr>
      <w:r>
        <w:rPr>
          <w:rFonts w:ascii="Century Gothic" w:hAnsi="Century Gothic" w:cs="Century Gothic" w:eastAsia="Century Gothic"/>
          <w:b w:val="0"/>
          <w:i w:val="0"/>
          <w:sz w:val="20"/>
        </w:rPr>
        <w:t>Dominio de los marcos de información financiera nacionales e internacionales para preparar estados financieros e informes de gestión en los sectores público, privado y mixto.</w:t>
      </w:r>
    </w:p>
    <w:p>
      <w:pPr>
        <w:numPr>
          <w:ilvl w:val="0"/>
          <w:numId w:val="912"/>
        </w:numPr>
        <w:spacing w:before="0" w:after="160" w:line="240" w:lineRule="auto"/>
        <w:jc w:val="both"/>
      </w:pPr>
      <w:r>
        <w:rPr>
          <w:rFonts w:ascii="Century Gothic" w:hAnsi="Century Gothic" w:cs="Century Gothic" w:eastAsia="Century Gothic"/>
          <w:b w:val="0"/>
          <w:i w:val="0"/>
          <w:sz w:val="20"/>
        </w:rPr>
        <w:t>Solvencia en normas de auditoría y aseguramiento para auditar la razonabilidad de la información financiera y ejecutar otros encargos de aseguramiento en entidades públicas y privadas.</w:t>
      </w:r>
    </w:p>
    <w:p>
      <w:pPr>
        <w:numPr>
          <w:ilvl w:val="0"/>
          <w:numId w:val="912"/>
        </w:numPr>
        <w:spacing w:before="0" w:after="160" w:line="240" w:lineRule="auto"/>
        <w:jc w:val="both"/>
      </w:pPr>
      <w:r>
        <w:rPr>
          <w:rFonts w:ascii="Century Gothic" w:hAnsi="Century Gothic" w:cs="Century Gothic" w:eastAsia="Century Gothic"/>
          <w:b w:val="0"/>
          <w:i w:val="0"/>
          <w:sz w:val="20"/>
        </w:rPr>
        <w:t>Conocimiento especializado en legislación fiscal, tributación, precios de transferencia y legislación comercial y laboral boliviana.</w:t>
      </w:r>
    </w:p>
    <w:p>
      <w:pPr>
        <w:numPr>
          <w:ilvl w:val="0"/>
          <w:numId w:val="912"/>
        </w:numPr>
        <w:spacing w:before="0" w:after="200" w:line="240" w:lineRule="auto"/>
        <w:jc w:val="both"/>
      </w:pPr>
      <w:r>
        <w:rPr>
          <w:rFonts w:ascii="Century Gothic" w:hAnsi="Century Gothic" w:cs="Century Gothic" w:eastAsia="Century Gothic"/>
          <w:b w:val="0"/>
          <w:i w:val="0"/>
          <w:sz w:val="20"/>
        </w:rPr>
        <w:t>Comprensión de las finanzas corporativas, la valoración de proyectos, el control interno y la gestión integral de riesgos empresariales.</w:t>
      </w:r>
    </w:p>
    <w:p>
      <w:pPr>
        <w:spacing w:before="0" w:after="200" w:line="240" w:lineRule="auto"/>
        <w:jc w:val="both"/>
      </w:pPr>
      <w:r>
        <w:rPr>
          <w:rFonts w:ascii="Century Gothic" w:hAnsi="Century Gothic" w:cs="Century Gothic" w:eastAsia="Century Gothic"/>
          <w:b/>
          <w:i w:val="0"/>
          <w:sz w:val="20"/>
        </w:rPr>
        <w:t>Atributos técnicos, digitales y de innovación, saber hacer:</w:t>
      </w:r>
    </w:p>
    <w:p>
      <w:pPr>
        <w:numPr>
          <w:ilvl w:val="0"/>
          <w:numId w:val="913"/>
        </w:numPr>
        <w:spacing w:before="0" w:after="160" w:line="240" w:lineRule="auto"/>
        <w:jc w:val="both"/>
      </w:pPr>
      <w:r>
        <w:rPr>
          <w:rFonts w:ascii="Century Gothic" w:hAnsi="Century Gothic" w:cs="Century Gothic" w:eastAsia="Century Gothic"/>
          <w:b w:val="0"/>
          <w:i w:val="0"/>
          <w:sz w:val="20"/>
        </w:rPr>
        <w:t>Habilidad en sistemas de planificación de recursos empresariales, software contable y plataformas tributarias oficiales.</w:t>
      </w:r>
    </w:p>
    <w:p>
      <w:pPr>
        <w:numPr>
          <w:ilvl w:val="0"/>
          <w:numId w:val="913"/>
        </w:numPr>
        <w:spacing w:before="0" w:after="160" w:line="240" w:lineRule="auto"/>
        <w:jc w:val="both"/>
      </w:pPr>
      <w:r>
        <w:rPr>
          <w:rFonts w:ascii="Century Gothic" w:hAnsi="Century Gothic" w:cs="Century Gothic" w:eastAsia="Century Gothic"/>
          <w:b w:val="0"/>
          <w:i w:val="0"/>
          <w:sz w:val="20"/>
        </w:rPr>
        <w:t>Destreza en inteligencia de negocios, analítica cuantitativa e inteligencia artificial para el análisis prospectivo de datos financieros y la detección de irregularidades.</w:t>
      </w:r>
    </w:p>
    <w:p>
      <w:pPr>
        <w:numPr>
          <w:ilvl w:val="0"/>
          <w:numId w:val="913"/>
        </w:numPr>
        <w:spacing w:before="0" w:after="160" w:line="240" w:lineRule="auto"/>
        <w:jc w:val="both"/>
      </w:pPr>
      <w:r>
        <w:rPr>
          <w:rFonts w:ascii="Century Gothic" w:hAnsi="Century Gothic" w:cs="Century Gothic" w:eastAsia="Century Gothic"/>
          <w:b w:val="0"/>
          <w:i w:val="0"/>
          <w:sz w:val="20"/>
        </w:rPr>
        <w:t>Capacidad para diseñar y ejecutar auditorías forenses, peritajes y auditorías de ciberseguridad y sistemas.</w:t>
      </w:r>
    </w:p>
    <w:p>
      <w:pPr>
        <w:numPr>
          <w:ilvl w:val="0"/>
          <w:numId w:val="913"/>
        </w:numPr>
        <w:spacing w:before="0" w:after="160" w:line="240" w:lineRule="auto"/>
        <w:jc w:val="both"/>
      </w:pPr>
      <w:r>
        <w:rPr>
          <w:rFonts w:ascii="Century Gothic" w:hAnsi="Century Gothic" w:cs="Century Gothic" w:eastAsia="Century Gothic"/>
          <w:b w:val="0"/>
          <w:i w:val="0"/>
          <w:sz w:val="20"/>
        </w:rPr>
        <w:t>Competencia para elaborar y auditar informes de sostenibilidad.</w:t>
      </w:r>
    </w:p>
    <w:p>
      <w:pPr>
        <w:numPr>
          <w:ilvl w:val="0"/>
          <w:numId w:val="913"/>
        </w:numPr>
        <w:spacing w:before="0" w:after="200" w:line="240" w:lineRule="auto"/>
        <w:jc w:val="both"/>
      </w:pPr>
      <w:r>
        <w:rPr>
          <w:rFonts w:ascii="Century Gothic" w:hAnsi="Century Gothic" w:cs="Century Gothic" w:eastAsia="Century Gothic"/>
          <w:b w:val="0"/>
          <w:i w:val="0"/>
          <w:sz w:val="20"/>
        </w:rPr>
        <w:t>Posibilidad de obtener los grados intermedios durante el pregrado y de articularse con los programas de postgrado de la Facultad.</w:t>
      </w:r>
    </w:p>
    <w:p>
      <w:pPr>
        <w:spacing w:before="0" w:after="200" w:line="240" w:lineRule="auto"/>
        <w:jc w:val="both"/>
      </w:pPr>
      <w:r>
        <w:rPr>
          <w:rFonts w:ascii="Century Gothic" w:hAnsi="Century Gothic" w:cs="Century Gothic" w:eastAsia="Century Gothic"/>
          <w:b/>
          <w:i w:val="0"/>
          <w:sz w:val="20"/>
        </w:rPr>
        <w:t>Atributos éticos, socioemocionales y de responsabilidad pública, saber ser y convivir:</w:t>
      </w:r>
    </w:p>
    <w:p>
      <w:pPr>
        <w:numPr>
          <w:ilvl w:val="0"/>
          <w:numId w:val="914"/>
        </w:numPr>
        <w:spacing w:before="0" w:after="160" w:line="240" w:lineRule="auto"/>
        <w:jc w:val="both"/>
      </w:pPr>
      <w:r>
        <w:rPr>
          <w:rFonts w:ascii="Century Gothic" w:hAnsi="Century Gothic" w:cs="Century Gothic" w:eastAsia="Century Gothic"/>
          <w:b w:val="0"/>
          <w:i w:val="0"/>
          <w:sz w:val="20"/>
        </w:rPr>
        <w:t>Compromiso con la integridad, la independencia de criterio, la objetividad y la confidencialidad conforme al Código de Ética del IESBA.</w:t>
      </w:r>
    </w:p>
    <w:p>
      <w:pPr>
        <w:numPr>
          <w:ilvl w:val="0"/>
          <w:numId w:val="914"/>
        </w:numPr>
        <w:spacing w:before="0" w:after="160" w:line="240" w:lineRule="auto"/>
        <w:jc w:val="both"/>
      </w:pPr>
      <w:r>
        <w:rPr>
          <w:rFonts w:ascii="Century Gothic" w:hAnsi="Century Gothic" w:cs="Century Gothic" w:eastAsia="Century Gothic"/>
          <w:b w:val="0"/>
          <w:i w:val="0"/>
          <w:sz w:val="20"/>
        </w:rPr>
        <w:t>Juicio profesional fundado en el pensamiento crítico, la investigación aplicada y la comprensión del entorno desde el pensamiento complejo.</w:t>
      </w:r>
    </w:p>
    <w:p>
      <w:pPr>
        <w:numPr>
          <w:ilvl w:val="0"/>
          <w:numId w:val="914"/>
        </w:numPr>
        <w:spacing w:before="0" w:after="160" w:line="240" w:lineRule="auto"/>
        <w:jc w:val="both"/>
      </w:pPr>
      <w:r>
        <w:rPr>
          <w:rFonts w:ascii="Century Gothic" w:hAnsi="Century Gothic" w:cs="Century Gothic" w:eastAsia="Century Gothic"/>
          <w:b w:val="0"/>
          <w:i w:val="0"/>
          <w:sz w:val="20"/>
        </w:rPr>
        <w:t>Adaptabilidad frente a los cambios normativos y tecnológicos.</w:t>
      </w:r>
    </w:p>
    <w:p>
      <w:pPr>
        <w:numPr>
          <w:ilvl w:val="0"/>
          <w:numId w:val="914"/>
        </w:numPr>
        <w:spacing w:before="0" w:after="200" w:line="240" w:lineRule="auto"/>
        <w:jc w:val="both"/>
      </w:pPr>
      <w:r>
        <w:rPr>
          <w:rFonts w:ascii="Century Gothic" w:hAnsi="Century Gothic" w:cs="Century Gothic" w:eastAsia="Century Gothic"/>
          <w:b w:val="0"/>
          <w:i w:val="0"/>
          <w:sz w:val="20"/>
        </w:rPr>
        <w:t>Liderazgo, trabajo colaborativo en equipos multidisciplinarios y comunicación asertiva en español y en inglés técnico contable.</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1"/>
    <w:lvlOverride w:ilvl="0">
      <w:startOverride w:val="1"/>
    </w:lvlOverride>
  </w:num>
  <w:num w:numId="903">
    <w:abstractNumId w:val="901"/>
    <w:lvlOverride w:ilvl="0">
      <w:startOverride w:val="1"/>
    </w:lvlOverride>
  </w:num>
  <w:num w:numId="904">
    <w:abstractNumId w:val="901"/>
    <w:lvlOverride w:ilvl="0">
      <w:startOverride w:val="1"/>
    </w:lvlOverride>
  </w:num>
  <w:num w:numId="905">
    <w:abstractNumId w:val="901"/>
    <w:lvlOverride w:ilvl="0">
      <w:startOverride w:val="1"/>
    </w:lvlOverride>
  </w:num>
  <w:num w:numId="906">
    <w:abstractNumId w:val="901"/>
    <w:lvlOverride w:ilvl="0">
      <w:startOverride w:val="1"/>
    </w:lvlOverride>
  </w:num>
  <w:num w:numId="907">
    <w:abstractNumId w:val="901"/>
    <w:lvlOverride w:ilvl="0">
      <w:startOverride w:val="1"/>
    </w:lvlOverride>
  </w:num>
  <w:num w:numId="908">
    <w:abstractNumId w:val="900"/>
    <w:lvlOverride w:ilvl="0">
      <w:startOverride w:val="1"/>
    </w:lvlOverride>
  </w:num>
  <w:num w:numId="909">
    <w:abstractNumId w:val="900"/>
    <w:lvlOverride w:ilvl="0">
      <w:startOverride w:val="1"/>
    </w:lvlOverride>
  </w:num>
  <w:num w:numId="910">
    <w:abstractNumId w:val="900"/>
    <w:lvlOverride w:ilvl="0">
      <w:startOverride w:val="1"/>
    </w:lvlOverride>
  </w:num>
  <w:num w:numId="911">
    <w:abstractNumId w:val="901"/>
    <w:lvlOverride w:ilvl="0">
      <w:startOverride w:val="1"/>
    </w:lvlOverride>
  </w:num>
  <w:num w:numId="912">
    <w:abstractNumId w:val="900"/>
    <w:lvlOverride w:ilvl="0">
      <w:startOverride w:val="1"/>
    </w:lvlOverride>
  </w:num>
  <w:num w:numId="913">
    <w:abstractNumId w:val="900"/>
    <w:lvlOverride w:ilvl="0">
      <w:startOverride w:val="1"/>
    </w:lvlOverride>
  </w:num>
  <w:num w:numId="914">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