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i w:val="0"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i w:val="0"/>
          <w:sz w:val="28"/>
        </w:rPr>
        <w:t>Infraestructura y Equipamiento</w:t>
      </w:r>
    </w:p>
    <w:p>
      <w:pPr>
        <w:keepNext/>
        <w:tabs>
          <w:tab w:pos="709" w:val="left"/>
        </w:tabs>
        <w:spacing w:before="16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4"/>
        </w:rPr>
        <w:t>14.</w:t>
        <w:tab/>
      </w:r>
      <w:r>
        <w:rPr>
          <w:rFonts w:ascii="Century Gothic" w:hAnsi="Century Gothic" w:cs="Century Gothic" w:eastAsia="Century Gothic"/>
          <w:b/>
          <w:i w:val="0"/>
          <w:sz w:val="24"/>
        </w:rPr>
        <w:t>Infraestructura y equipamiento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Este punto presenta la infraestructura y el equipamiento con que cuenta la Carrera para el desarrollo del Plan de Estudios 2027, organizados según los componentes que exige la Resolución HCU N.º 032/2025. Los requerimientos de mejora y su financiamiento se desarrollan en el punto 11 y el detalle de los recursos educativos, en el punto 10.</w:t>
      </w:r>
    </w:p>
    <w:p>
      <w:pPr>
        <w:keepNext/>
        <w:tabs>
          <w:tab w:pos="709" w:val="left"/>
        </w:tabs>
        <w:spacing w:before="12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4"/>
        </w:rPr>
        <w:t>14.1</w:t>
        <w:tab/>
      </w:r>
      <w:r>
        <w:rPr>
          <w:rFonts w:ascii="Century Gothic" w:hAnsi="Century Gothic" w:cs="Century Gothic" w:eastAsia="Century Gothic"/>
          <w:b/>
          <w:i w:val="0"/>
          <w:sz w:val="24"/>
        </w:rPr>
        <w:t>Aulas (físicas o virtuales)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La Carrera dispone de ocho aulas teóricas y un aula multipropósito en el Edificio Nava Morales, Av. Montes esquina Pando, con 974 plazas y una capacidad promedio de 115 estudiantes por aula teórica, y de cuatro pabellones en el Edificio Monoblock Central, Av. Villazón, con 1.100 plazas, de uso exclusivo y administración propia de la Carrera; las demás unidades de la Universidad gestionan su uso para actividades específicas. La superficie y la capacidad de cada aula se detallan en los Cuadros 3 y 4 del punto 11. El equipamiento de las aulas es el siguiente:</w:t>
      </w:r>
    </w:p>
    <w:p>
      <w:pPr>
        <w:keepNext/>
        <w:spacing w:before="40" w:after="80" w:line="240" w:lineRule="auto"/>
        <w:jc w:val="center"/>
      </w:pPr>
      <w:r>
        <w:rPr>
          <w:rFonts w:ascii="Century Gothic" w:hAnsi="Century Gothic" w:cs="Century Gothic" w:eastAsia="Century Gothic"/>
          <w:b/>
          <w:i w:val="0"/>
          <w:sz w:val="20"/>
        </w:rPr>
        <w:t>Cuadro 1. Equipamiento de las aulas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935"/>
        <w:gridCol w:w="964"/>
        <w:gridCol w:w="737"/>
        <w:gridCol w:w="1134"/>
        <w:gridCol w:w="1304"/>
        <w:gridCol w:w="1049"/>
        <w:gridCol w:w="1474"/>
      </w:tblGrid>
      <w:tr>
        <w:trPr>
          <w:tblHeader/>
        </w:trPr>
        <w:tc>
          <w:tcPr>
            <w:tcW w:type="dxa" w:w="147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16"/>
              </w:rPr>
              <w:t>Ambiente</w:t>
            </w:r>
          </w:p>
        </w:tc>
        <w:tc>
          <w:tcPr>
            <w:tcW w:type="dxa" w:w="93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16"/>
              </w:rPr>
              <w:t>Pizarras</w:t>
            </w:r>
          </w:p>
        </w:tc>
        <w:tc>
          <w:tcPr>
            <w:tcW w:type="dxa" w:w="96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16"/>
              </w:rPr>
              <w:t>Tarimas</w:t>
            </w:r>
          </w:p>
        </w:tc>
        <w:tc>
          <w:tcPr>
            <w:tcW w:type="dxa" w:w="73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16"/>
              </w:rPr>
              <w:t>Atriles</w:t>
            </w:r>
          </w:p>
        </w:tc>
        <w:tc>
          <w:tcPr>
            <w:tcW w:type="dxa" w:w="113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16"/>
              </w:rPr>
              <w:t>Extractores</w:t>
            </w:r>
          </w:p>
        </w:tc>
        <w:tc>
          <w:tcPr>
            <w:tcW w:type="dxa" w:w="130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16"/>
              </w:rPr>
              <w:t>Ventiladores</w:t>
            </w:r>
          </w:p>
        </w:tc>
        <w:tc>
          <w:tcPr>
            <w:tcW w:type="dxa" w:w="1049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16"/>
              </w:rPr>
              <w:t>Cámaras</w:t>
            </w:r>
          </w:p>
        </w:tc>
        <w:tc>
          <w:tcPr>
            <w:tcW w:type="dxa" w:w="147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16"/>
              </w:rPr>
              <w:t>Aire acondicionado</w:t>
            </w:r>
          </w:p>
        </w:tc>
      </w:tr>
      <w:tr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Aula 1</w:t>
            </w:r>
          </w:p>
        </w:tc>
        <w:tc>
          <w:tcPr>
            <w:tcW w:type="dxa" w:w="93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  <w:tc>
          <w:tcPr>
            <w:tcW w:type="dxa" w:w="96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  <w:tc>
          <w:tcPr>
            <w:tcW w:type="dxa" w:w="73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3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04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Aula 2</w:t>
            </w:r>
          </w:p>
        </w:tc>
        <w:tc>
          <w:tcPr>
            <w:tcW w:type="dxa" w:w="93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  <w:tc>
          <w:tcPr>
            <w:tcW w:type="dxa" w:w="96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73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4</w:t>
            </w:r>
          </w:p>
        </w:tc>
        <w:tc>
          <w:tcPr>
            <w:tcW w:type="dxa" w:w="13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3</w:t>
            </w:r>
          </w:p>
        </w:tc>
        <w:tc>
          <w:tcPr>
            <w:tcW w:type="dxa" w:w="104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Aula 3</w:t>
            </w:r>
          </w:p>
        </w:tc>
        <w:tc>
          <w:tcPr>
            <w:tcW w:type="dxa" w:w="93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  <w:tc>
          <w:tcPr>
            <w:tcW w:type="dxa" w:w="96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  <w:tc>
          <w:tcPr>
            <w:tcW w:type="dxa" w:w="73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  <w:tc>
          <w:tcPr>
            <w:tcW w:type="dxa" w:w="13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04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Aula 4</w:t>
            </w:r>
          </w:p>
        </w:tc>
        <w:tc>
          <w:tcPr>
            <w:tcW w:type="dxa" w:w="93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  <w:tc>
          <w:tcPr>
            <w:tcW w:type="dxa" w:w="96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  <w:tc>
          <w:tcPr>
            <w:tcW w:type="dxa" w:w="73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3</w:t>
            </w:r>
          </w:p>
        </w:tc>
        <w:tc>
          <w:tcPr>
            <w:tcW w:type="dxa" w:w="13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04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Aula 5</w:t>
            </w:r>
          </w:p>
        </w:tc>
        <w:tc>
          <w:tcPr>
            <w:tcW w:type="dxa" w:w="93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96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73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  <w:tc>
          <w:tcPr>
            <w:tcW w:type="dxa" w:w="13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04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Aula 6</w:t>
            </w:r>
          </w:p>
        </w:tc>
        <w:tc>
          <w:tcPr>
            <w:tcW w:type="dxa" w:w="93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96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73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  <w:tc>
          <w:tcPr>
            <w:tcW w:type="dxa" w:w="13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04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Aula 7</w:t>
            </w:r>
          </w:p>
        </w:tc>
        <w:tc>
          <w:tcPr>
            <w:tcW w:type="dxa" w:w="93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  <w:tc>
          <w:tcPr>
            <w:tcW w:type="dxa" w:w="96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  <w:tc>
          <w:tcPr>
            <w:tcW w:type="dxa" w:w="73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3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04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Aula 8</w:t>
            </w:r>
          </w:p>
        </w:tc>
        <w:tc>
          <w:tcPr>
            <w:tcW w:type="dxa" w:w="93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  <w:tc>
          <w:tcPr>
            <w:tcW w:type="dxa" w:w="96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  <w:tc>
          <w:tcPr>
            <w:tcW w:type="dxa" w:w="73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3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04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Aula multipropósito</w:t>
            </w:r>
          </w:p>
        </w:tc>
        <w:tc>
          <w:tcPr>
            <w:tcW w:type="dxa" w:w="93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96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73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0</w:t>
            </w:r>
          </w:p>
        </w:tc>
        <w:tc>
          <w:tcPr>
            <w:tcW w:type="dxa" w:w="13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0</w:t>
            </w:r>
          </w:p>
        </w:tc>
        <w:tc>
          <w:tcPr>
            <w:tcW w:type="dxa" w:w="104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Pabellón A</w:t>
            </w:r>
          </w:p>
        </w:tc>
        <w:tc>
          <w:tcPr>
            <w:tcW w:type="dxa" w:w="93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6</w:t>
            </w:r>
          </w:p>
        </w:tc>
        <w:tc>
          <w:tcPr>
            <w:tcW w:type="dxa" w:w="96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73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0</w:t>
            </w:r>
          </w:p>
        </w:tc>
        <w:tc>
          <w:tcPr>
            <w:tcW w:type="dxa" w:w="13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0</w:t>
            </w:r>
          </w:p>
        </w:tc>
        <w:tc>
          <w:tcPr>
            <w:tcW w:type="dxa" w:w="104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Pabellón B</w:t>
            </w:r>
          </w:p>
        </w:tc>
        <w:tc>
          <w:tcPr>
            <w:tcW w:type="dxa" w:w="93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6</w:t>
            </w:r>
          </w:p>
        </w:tc>
        <w:tc>
          <w:tcPr>
            <w:tcW w:type="dxa" w:w="96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73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0</w:t>
            </w:r>
          </w:p>
        </w:tc>
        <w:tc>
          <w:tcPr>
            <w:tcW w:type="dxa" w:w="13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0</w:t>
            </w:r>
          </w:p>
        </w:tc>
        <w:tc>
          <w:tcPr>
            <w:tcW w:type="dxa" w:w="104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Pabellón C</w:t>
            </w:r>
          </w:p>
        </w:tc>
        <w:tc>
          <w:tcPr>
            <w:tcW w:type="dxa" w:w="93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6</w:t>
            </w:r>
          </w:p>
        </w:tc>
        <w:tc>
          <w:tcPr>
            <w:tcW w:type="dxa" w:w="96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73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0</w:t>
            </w:r>
          </w:p>
        </w:tc>
        <w:tc>
          <w:tcPr>
            <w:tcW w:type="dxa" w:w="13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0</w:t>
            </w:r>
          </w:p>
        </w:tc>
        <w:tc>
          <w:tcPr>
            <w:tcW w:type="dxa" w:w="104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Pabellón D</w:t>
            </w:r>
          </w:p>
        </w:tc>
        <w:tc>
          <w:tcPr>
            <w:tcW w:type="dxa" w:w="93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6</w:t>
            </w:r>
          </w:p>
        </w:tc>
        <w:tc>
          <w:tcPr>
            <w:tcW w:type="dxa" w:w="96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73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0</w:t>
            </w:r>
          </w:p>
        </w:tc>
        <w:tc>
          <w:tcPr>
            <w:tcW w:type="dxa" w:w="130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0</w:t>
            </w:r>
          </w:p>
        </w:tc>
        <w:tc>
          <w:tcPr>
            <w:tcW w:type="dxa" w:w="1049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2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6"/>
              </w:rPr>
              <w:t>0</w:t>
            </w:r>
          </w:p>
        </w:tc>
      </w:tr>
    </w:tbl>
    <w:p>
      <w:pPr>
        <w:spacing w:before="40" w:after="200" w:line="240" w:lineRule="auto"/>
        <w:jc w:val="left"/>
      </w:pPr>
      <w:r>
        <w:rPr>
          <w:rFonts w:ascii="Century Gothic" w:hAnsi="Century Gothic" w:cs="Century Gothic" w:eastAsia="Century Gothic"/>
          <w:b w:val="0"/>
          <w:i w:val="0"/>
          <w:sz w:val="16"/>
        </w:rPr>
        <w:t>Fuente: inventario de mobiliario y equipamiento del Plan de Estudios 2024. Todas las aulas cuentan además con proyector multimedia y ecrán; los pabellones, con equipo de sonido.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Las aulas del Edificio Nava Morales tienen pupitres bipersonales y las del Monoblock Central, filas de mesas y asientos fijos: 20 filas en los pabellones A y B, 13 en el C y 12 en el D. El mobiliario fijo dificulta el trabajo en grupos que exigen las metodologías activas del punto 4.6, y los estudiantes reportan calor o frío extremos, ventilación insuficiente y fallas de proyectores, conforme a la evaluación del punto 11.1.3.</w:t>
      </w:r>
    </w:p>
    <w:p>
      <w:pPr>
        <w:spacing w:before="4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1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la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entury Gothic" w:hAnsi="Century Gothic" w:cs="Century Gothic" w:eastAsia="Century Gothic"/>
          <w:b w:val="0"/>
          <w:i w:val="0"/>
          <w:sz w:val="18"/>
        </w:rPr>
        <w:t>Imagen 1. Aula 1, Edificio Nava Morales</w:t>
      </w:r>
    </w:p>
    <w:p>
      <w:pPr>
        <w:spacing w:before="4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19698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la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entury Gothic" w:hAnsi="Century Gothic" w:cs="Century Gothic" w:eastAsia="Century Gothic"/>
          <w:b w:val="0"/>
          <w:i w:val="0"/>
          <w:sz w:val="18"/>
        </w:rPr>
        <w:t>Imagen 2. Aula 2, Edificio Nava Morales</w:t>
      </w:r>
    </w:p>
    <w:p>
      <w:pPr>
        <w:spacing w:before="4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19676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la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6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entury Gothic" w:hAnsi="Century Gothic" w:cs="Century Gothic" w:eastAsia="Century Gothic"/>
          <w:b w:val="0"/>
          <w:i w:val="0"/>
          <w:sz w:val="18"/>
        </w:rPr>
        <w:t>Imagen 3. Aula 3, Edificio Nava Morales</w:t>
      </w:r>
    </w:p>
    <w:p>
      <w:pPr>
        <w:spacing w:before="4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19676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la4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6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entury Gothic" w:hAnsi="Century Gothic" w:cs="Century Gothic" w:eastAsia="Century Gothic"/>
          <w:b w:val="0"/>
          <w:i w:val="0"/>
          <w:sz w:val="18"/>
        </w:rPr>
        <w:t>Imagen 4. Aula 4, Edificio Nava Morales</w:t>
      </w:r>
    </w:p>
    <w:p>
      <w:pPr>
        <w:spacing w:before="4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19011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la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0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entury Gothic" w:hAnsi="Century Gothic" w:cs="Century Gothic" w:eastAsia="Century Gothic"/>
          <w:b w:val="0"/>
          <w:i w:val="0"/>
          <w:sz w:val="18"/>
        </w:rPr>
        <w:t>Imagen 5. Aula 5, Edificio Nava Morales</w:t>
      </w:r>
    </w:p>
    <w:p>
      <w:pPr>
        <w:spacing w:before="4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700000" cy="39293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la6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3929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entury Gothic" w:hAnsi="Century Gothic" w:cs="Century Gothic" w:eastAsia="Century Gothic"/>
          <w:b w:val="0"/>
          <w:i w:val="0"/>
          <w:sz w:val="18"/>
        </w:rPr>
        <w:t>Imagen 6. Aula 6, Edificio Nava Morales</w:t>
      </w:r>
    </w:p>
    <w:p>
      <w:pPr>
        <w:spacing w:before="4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18389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la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38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entury Gothic" w:hAnsi="Century Gothic" w:cs="Century Gothic" w:eastAsia="Century Gothic"/>
          <w:b w:val="0"/>
          <w:i w:val="0"/>
          <w:sz w:val="18"/>
        </w:rPr>
        <w:t>Imagen 7. Aula 7, Edificio Nava Morales</w:t>
      </w:r>
    </w:p>
    <w:p>
      <w:pPr>
        <w:spacing w:before="4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172929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la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29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entury Gothic" w:hAnsi="Century Gothic" w:cs="Century Gothic" w:eastAsia="Century Gothic"/>
          <w:b w:val="0"/>
          <w:i w:val="0"/>
          <w:sz w:val="18"/>
        </w:rPr>
        <w:t>Imagen 8. Aula 8, Edificio Nava Morales</w:t>
      </w:r>
    </w:p>
    <w:p>
      <w:pPr>
        <w:spacing w:before="4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18454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o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4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entury Gothic" w:hAnsi="Century Gothic" w:cs="Century Gothic" w:eastAsia="Century Gothic"/>
          <w:b w:val="0"/>
          <w:i w:val="0"/>
          <w:sz w:val="18"/>
        </w:rPr>
        <w:t>Imagen 9. Pabellones del Edificio Monoblock Central</w:t>
      </w:r>
    </w:p>
    <w:p>
      <w:pPr>
        <w:spacing w:before="4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171791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o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17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entury Gothic" w:hAnsi="Century Gothic" w:cs="Century Gothic" w:eastAsia="Century Gothic"/>
          <w:b w:val="0"/>
          <w:i w:val="0"/>
          <w:sz w:val="18"/>
        </w:rPr>
        <w:t>Imagen 10. Pabellones del Edificio Monoblock Central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Como aulas virtuales, la Carrera dispone de su plataforma virtual en Moodle y de Microsoft Teams, descritas en el punto 10.12. En el Plan 2027 cada asignatura y paralelo contará con un aula virtual para el trabajo no presencial.</w:t>
      </w:r>
    </w:p>
    <w:p>
      <w:pPr>
        <w:keepNext/>
        <w:tabs>
          <w:tab w:pos="709" w:val="left"/>
        </w:tabs>
        <w:spacing w:before="12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4"/>
        </w:rPr>
        <w:t>14.2</w:t>
        <w:tab/>
      </w:r>
      <w:r>
        <w:rPr>
          <w:rFonts w:ascii="Century Gothic" w:hAnsi="Century Gothic" w:cs="Century Gothic" w:eastAsia="Century Gothic"/>
          <w:b/>
          <w:i w:val="0"/>
          <w:sz w:val="24"/>
        </w:rPr>
        <w:t>Tecnología audiovisual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La Carrera cuenta con 16 proyectores multimedia y 15 ecranes distribuidos en todas las aulas, el aula multipropósito, las salas de computación y la Sala del Consejo de Carrera; atriles con parlante en los cuatro pabellones; un equipo de sonido portátil; y el equipo del auditorio, con consola mezcladora de 12 canales, control de luces y ocho micrófonos inalámbricos. El detalle se presenta en los puntos 10.1 y 10.5. El inventario no registra pantallas interactivas ni equipos para la grabación o transmisión de clases, que serán necesarios para la modalidad híbrida prevista en el punto 5.3.3.</w:t>
      </w:r>
    </w:p>
    <w:p>
      <w:pPr>
        <w:keepNext/>
        <w:tabs>
          <w:tab w:pos="709" w:val="left"/>
        </w:tabs>
        <w:spacing w:before="12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4"/>
        </w:rPr>
        <w:t>14.3</w:t>
        <w:tab/>
      </w:r>
      <w:r>
        <w:rPr>
          <w:rFonts w:ascii="Century Gothic" w:hAnsi="Century Gothic" w:cs="Century Gothic" w:eastAsia="Century Gothic"/>
          <w:b/>
          <w:i w:val="0"/>
          <w:sz w:val="24"/>
        </w:rPr>
        <w:t>Laboratorios / talleres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La Carrera cuenta con dos laboratorios de computación: el del Edificio Nava Morales, en el cuarto piso, con 61 m² y capacidad para 70 estudiantes, y el del Monoblock Central, en planta baja, con 50 m² y capacidad para 36 estudiantes, de los cuales 20 puestos están completos según el inventario. Su equipamiento y software se detallan en los puntos 10.4, 10.7 y 10.8. La Carrera no cuenta con talleres ni salas de simulación para el trabajo en equipo; su habilitación forma parte de los requerimientos de mediano plazo del punto 11.1.4.</w:t>
      </w:r>
    </w:p>
    <w:p>
      <w:pPr>
        <w:spacing w:before="4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188642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u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86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entury Gothic" w:hAnsi="Century Gothic" w:cs="Century Gothic" w:eastAsia="Century Gothic"/>
          <w:b w:val="0"/>
          <w:i w:val="0"/>
          <w:sz w:val="18"/>
        </w:rPr>
        <w:t>Imagen 11. Laboratorios de computación</w:t>
      </w:r>
    </w:p>
    <w:p>
      <w:pPr>
        <w:keepNext/>
        <w:tabs>
          <w:tab w:pos="709" w:val="left"/>
        </w:tabs>
        <w:spacing w:before="12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4"/>
        </w:rPr>
        <w:t>14.4</w:t>
        <w:tab/>
      </w:r>
      <w:r>
        <w:rPr>
          <w:rFonts w:ascii="Century Gothic" w:hAnsi="Century Gothic" w:cs="Century Gothic" w:eastAsia="Century Gothic"/>
          <w:b/>
          <w:i w:val="0"/>
          <w:sz w:val="24"/>
        </w:rPr>
        <w:t>Áreas de biblioteca, hemeroteca e información dura o digital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La Biblioteca de la Carrera se ubica en el primer piso del Edificio Nava Morales:</w:t>
      </w:r>
    </w:p>
    <w:p>
      <w:pPr>
        <w:keepNext/>
        <w:spacing w:before="40" w:after="80" w:line="240" w:lineRule="auto"/>
        <w:jc w:val="center"/>
      </w:pPr>
      <w:r>
        <w:rPr>
          <w:rFonts w:ascii="Century Gothic" w:hAnsi="Century Gothic" w:cs="Century Gothic" w:eastAsia="Century Gothic"/>
          <w:b/>
          <w:i w:val="0"/>
          <w:sz w:val="20"/>
        </w:rPr>
        <w:t>Cuadro 2. Ambientes de la Biblioteca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134"/>
        <w:gridCol w:w="1361"/>
        <w:gridCol w:w="1474"/>
        <w:gridCol w:w="2268"/>
      </w:tblGrid>
      <w:tr>
        <w:trPr>
          <w:tblHeader/>
        </w:trPr>
        <w:tc>
          <w:tcPr>
            <w:tcW w:type="dxa" w:w="283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20"/>
              </w:rPr>
              <w:t>Ambiente</w:t>
            </w:r>
          </w:p>
        </w:tc>
        <w:tc>
          <w:tcPr>
            <w:tcW w:type="dxa" w:w="113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20"/>
              </w:rPr>
              <w:t>Piso</w:t>
            </w:r>
          </w:p>
        </w:tc>
        <w:tc>
          <w:tcPr>
            <w:tcW w:type="dxa" w:w="136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20"/>
              </w:rPr>
              <w:t>Uso</w:t>
            </w:r>
          </w:p>
        </w:tc>
        <w:tc>
          <w:tcPr>
            <w:tcW w:type="dxa" w:w="147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20"/>
              </w:rPr>
              <w:t>Superficie</w:t>
            </w:r>
          </w:p>
        </w:tc>
        <w:tc>
          <w:tcPr>
            <w:tcW w:type="dxa" w:w="226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20"/>
              </w:rPr>
              <w:t>Capacidad</w:t>
            </w:r>
          </w:p>
        </w:tc>
      </w:tr>
      <w:tr>
        <w:tc>
          <w:tcPr>
            <w:tcW w:type="dxa" w:w="283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Sala de lectura</w:t>
            </w:r>
          </w:p>
        </w:tc>
        <w:tc>
          <w:tcPr>
            <w:tcW w:type="dxa" w:w="11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Primero</w:t>
            </w:r>
          </w:p>
        </w:tc>
        <w:tc>
          <w:tcPr>
            <w:tcW w:type="dxa" w:w="136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Exclusivo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51 m²</w:t>
            </w:r>
          </w:p>
        </w:tc>
        <w:tc>
          <w:tcPr>
            <w:tcW w:type="dxa" w:w="226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90 estudiantes</w:t>
            </w:r>
          </w:p>
        </w:tc>
      </w:tr>
      <w:tr>
        <w:tc>
          <w:tcPr>
            <w:tcW w:type="dxa" w:w="283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Depósito de libros</w:t>
            </w:r>
          </w:p>
        </w:tc>
        <w:tc>
          <w:tcPr>
            <w:tcW w:type="dxa" w:w="11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Primero</w:t>
            </w:r>
          </w:p>
        </w:tc>
        <w:tc>
          <w:tcPr>
            <w:tcW w:type="dxa" w:w="136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Exclusivo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51 m²</w:t>
            </w:r>
          </w:p>
        </w:tc>
        <w:tc>
          <w:tcPr>
            <w:tcW w:type="dxa" w:w="226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No aplica</w:t>
            </w:r>
          </w:p>
        </w:tc>
      </w:tr>
      <w:tr>
        <w:tc>
          <w:tcPr>
            <w:tcW w:type="dxa" w:w="283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Oficina de Jefatura</w:t>
            </w:r>
          </w:p>
        </w:tc>
        <w:tc>
          <w:tcPr>
            <w:tcW w:type="dxa" w:w="11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Primero</w:t>
            </w:r>
          </w:p>
        </w:tc>
        <w:tc>
          <w:tcPr>
            <w:tcW w:type="dxa" w:w="136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Exclusivo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10 m²</w:t>
            </w:r>
          </w:p>
        </w:tc>
        <w:tc>
          <w:tcPr>
            <w:tcW w:type="dxa" w:w="226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No aplica</w:t>
            </w:r>
          </w:p>
        </w:tc>
      </w:tr>
      <w:tr>
        <w:tc>
          <w:tcPr>
            <w:tcW w:type="dxa" w:w="283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Oficina de bibliotecarios</w:t>
            </w:r>
          </w:p>
        </w:tc>
        <w:tc>
          <w:tcPr>
            <w:tcW w:type="dxa" w:w="113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Primero</w:t>
            </w:r>
          </w:p>
        </w:tc>
        <w:tc>
          <w:tcPr>
            <w:tcW w:type="dxa" w:w="136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Exclusivo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15 m²</w:t>
            </w:r>
          </w:p>
        </w:tc>
        <w:tc>
          <w:tcPr>
            <w:tcW w:type="dxa" w:w="226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20"/>
              </w:rPr>
              <w:t>No aplica</w:t>
            </w:r>
          </w:p>
        </w:tc>
      </w:tr>
    </w:tbl>
    <w:p>
      <w:pPr>
        <w:spacing w:before="40" w:after="200" w:line="240" w:lineRule="auto"/>
        <w:jc w:val="left"/>
      </w:pPr>
      <w:r>
        <w:rPr>
          <w:rFonts w:ascii="Century Gothic" w:hAnsi="Century Gothic" w:cs="Century Gothic" w:eastAsia="Century Gothic"/>
          <w:b w:val="0"/>
          <w:i w:val="0"/>
          <w:sz w:val="16"/>
        </w:rPr>
        <w:t>Fuente: Plan de Estudios 2024.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La sala de lectura ofrece 0,57 m² por usuario a plena capacidad y 90 plazas para 3.143 estudiantes inscritos. Cuenta con dos cámaras de seguridad y aire acondicionado. El acervo de 6.173 libros y 2.821 trabajos académicos, el sistema KOHA, el control biométrico, el repositorio institucional y el acceso a bases de datos se describen en el punto 9. La Carrera no cuenta con una hemeroteca propia, porque no tiene suscripciones a revistas especializadas; la información periódica se consulta en formato digital.</w:t>
      </w:r>
    </w:p>
    <w:p>
      <w:pPr>
        <w:spacing w:before="4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19021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blio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02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entury Gothic" w:hAnsi="Century Gothic" w:cs="Century Gothic" w:eastAsia="Century Gothic"/>
          <w:b w:val="0"/>
          <w:i w:val="0"/>
          <w:sz w:val="18"/>
        </w:rPr>
        <w:t>Imagen 12. Biblioteca y sala de lectura</w:t>
      </w:r>
    </w:p>
    <w:p>
      <w:pPr>
        <w:keepNext/>
        <w:tabs>
          <w:tab w:pos="709" w:val="left"/>
        </w:tabs>
        <w:spacing w:before="12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4"/>
        </w:rPr>
        <w:t>14.5</w:t>
        <w:tab/>
      </w:r>
      <w:r>
        <w:rPr>
          <w:rFonts w:ascii="Century Gothic" w:hAnsi="Century Gothic" w:cs="Century Gothic" w:eastAsia="Century Gothic"/>
          <w:b/>
          <w:i w:val="0"/>
          <w:sz w:val="24"/>
        </w:rPr>
        <w:t>Salas de computación y computadores estacionarios y portátiles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Las computadoras estacionarias de uso académico se concentran en los dos laboratorios, con 70 equipos en el Edificio Nava Morales y 39 en el Monoblock Central según el Diagnóstico 2026, todos conectados en red con acceso a internet. El Centro de Cómputo, en la Av. Villazón, cuenta con el gabinete de red desde el que se distribuye el servicio de internet a todos los predios, tres impresoras, un escáner de alta velocidad y cuatro computadoras. El inventario no registra computadoras portátiles para uso académico; su adquisición para préstamo a docentes y para actividades en aula complementaría los laboratorios.</w:t>
      </w:r>
    </w:p>
    <w:p>
      <w:pPr>
        <w:keepNext/>
        <w:tabs>
          <w:tab w:pos="709" w:val="left"/>
        </w:tabs>
        <w:spacing w:before="12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4"/>
        </w:rPr>
        <w:t>14.6</w:t>
        <w:tab/>
      </w:r>
      <w:r>
        <w:rPr>
          <w:rFonts w:ascii="Century Gothic" w:hAnsi="Century Gothic" w:cs="Century Gothic" w:eastAsia="Century Gothic"/>
          <w:b/>
          <w:i w:val="0"/>
          <w:sz w:val="24"/>
        </w:rPr>
        <w:t>Ambientes administrativos y sala de docentes</w:t>
      </w:r>
    </w:p>
    <w:p>
      <w:pPr>
        <w:keepNext/>
        <w:spacing w:before="40" w:after="80" w:line="240" w:lineRule="auto"/>
        <w:jc w:val="center"/>
      </w:pPr>
      <w:r>
        <w:rPr>
          <w:rFonts w:ascii="Century Gothic" w:hAnsi="Century Gothic" w:cs="Century Gothic" w:eastAsia="Century Gothic"/>
          <w:b/>
          <w:i w:val="0"/>
          <w:sz w:val="20"/>
        </w:rPr>
        <w:t>Cuadro 3. Ambientes administrativos y sala de docentes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2608"/>
        <w:gridCol w:w="1474"/>
        <w:gridCol w:w="1247"/>
        <w:gridCol w:w="1814"/>
      </w:tblGrid>
      <w:tr>
        <w:trPr>
          <w:tblHeader/>
        </w:trPr>
        <w:tc>
          <w:tcPr>
            <w:tcW w:type="dxa" w:w="192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18"/>
              </w:rPr>
              <w:t>Edificio</w:t>
            </w:r>
          </w:p>
        </w:tc>
        <w:tc>
          <w:tcPr>
            <w:tcW w:type="dxa" w:w="2608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18"/>
              </w:rPr>
              <w:t>Ambiente</w:t>
            </w:r>
          </w:p>
        </w:tc>
        <w:tc>
          <w:tcPr>
            <w:tcW w:type="dxa" w:w="147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18"/>
              </w:rPr>
              <w:t>Piso</w:t>
            </w:r>
          </w:p>
        </w:tc>
        <w:tc>
          <w:tcPr>
            <w:tcW w:type="dxa" w:w="124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18"/>
              </w:rPr>
              <w:t>Superficie</w:t>
            </w:r>
          </w:p>
        </w:tc>
        <w:tc>
          <w:tcPr>
            <w:tcW w:type="dxa" w:w="181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entury Gothic" w:hAnsi="Century Gothic" w:cs="Century Gothic" w:eastAsia="Century Gothic"/>
                <w:b/>
                <w:i w:val="0"/>
                <w:color w:val="FFFFFF"/>
                <w:sz w:val="18"/>
              </w:rPr>
              <w:t>Capacidad</w:t>
            </w:r>
          </w:p>
        </w:tc>
      </w:tr>
      <w:tr>
        <w:tc>
          <w:tcPr>
            <w:tcW w:type="dxa" w:w="192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Monoblock Central</w:t>
            </w:r>
          </w:p>
        </w:tc>
        <w:tc>
          <w:tcPr>
            <w:tcW w:type="dxa" w:w="260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Dirección de Carrera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Tercero</w:t>
            </w:r>
          </w:p>
        </w:tc>
        <w:tc>
          <w:tcPr>
            <w:tcW w:type="dxa" w:w="124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25 m²</w:t>
            </w:r>
          </w:p>
        </w:tc>
        <w:tc>
          <w:tcPr>
            <w:tcW w:type="dxa" w:w="18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1 funcionario</w:t>
            </w:r>
          </w:p>
        </w:tc>
      </w:tr>
      <w:tr>
        <w:tc>
          <w:tcPr>
            <w:tcW w:type="dxa" w:w="192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Monoblock Central</w:t>
            </w:r>
          </w:p>
        </w:tc>
        <w:tc>
          <w:tcPr>
            <w:tcW w:type="dxa" w:w="260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Sala del Honorable Consejo de Carrera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Tercero</w:t>
            </w:r>
          </w:p>
        </w:tc>
        <w:tc>
          <w:tcPr>
            <w:tcW w:type="dxa" w:w="124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15 m²</w:t>
            </w:r>
          </w:p>
        </w:tc>
        <w:tc>
          <w:tcPr>
            <w:tcW w:type="dxa" w:w="18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10 consejeros</w:t>
            </w:r>
          </w:p>
        </w:tc>
      </w:tr>
      <w:tr>
        <w:tc>
          <w:tcPr>
            <w:tcW w:type="dxa" w:w="192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Monoblock Central</w:t>
            </w:r>
          </w:p>
        </w:tc>
        <w:tc>
          <w:tcPr>
            <w:tcW w:type="dxa" w:w="260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Secretaría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Tercero</w:t>
            </w:r>
          </w:p>
        </w:tc>
        <w:tc>
          <w:tcPr>
            <w:tcW w:type="dxa" w:w="124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29 m²</w:t>
            </w:r>
          </w:p>
        </w:tc>
        <w:tc>
          <w:tcPr>
            <w:tcW w:type="dxa" w:w="18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1 funcionario</w:t>
            </w:r>
          </w:p>
        </w:tc>
      </w:tr>
      <w:tr>
        <w:tc>
          <w:tcPr>
            <w:tcW w:type="dxa" w:w="192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Monoblock Central</w:t>
            </w:r>
          </w:p>
        </w:tc>
        <w:tc>
          <w:tcPr>
            <w:tcW w:type="dxa" w:w="260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Auxiliares de secretaría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Tercero</w:t>
            </w:r>
          </w:p>
        </w:tc>
        <w:tc>
          <w:tcPr>
            <w:tcW w:type="dxa" w:w="124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16 m²</w:t>
            </w:r>
          </w:p>
        </w:tc>
        <w:tc>
          <w:tcPr>
            <w:tcW w:type="dxa" w:w="18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3 funcionarios</w:t>
            </w:r>
          </w:p>
        </w:tc>
      </w:tr>
      <w:tr>
        <w:tc>
          <w:tcPr>
            <w:tcW w:type="dxa" w:w="192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Monoblock Central</w:t>
            </w:r>
          </w:p>
        </w:tc>
        <w:tc>
          <w:tcPr>
            <w:tcW w:type="dxa" w:w="260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Ventanilla única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Tercero</w:t>
            </w:r>
          </w:p>
        </w:tc>
        <w:tc>
          <w:tcPr>
            <w:tcW w:type="dxa" w:w="124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17 m²</w:t>
            </w:r>
          </w:p>
        </w:tc>
        <w:tc>
          <w:tcPr>
            <w:tcW w:type="dxa" w:w="18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2 funcionarios</w:t>
            </w:r>
          </w:p>
        </w:tc>
      </w:tr>
      <w:tr>
        <w:tc>
          <w:tcPr>
            <w:tcW w:type="dxa" w:w="192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Monoblock Central</w:t>
            </w:r>
          </w:p>
        </w:tc>
        <w:tc>
          <w:tcPr>
            <w:tcW w:type="dxa" w:w="260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Kárdex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Tercero</w:t>
            </w:r>
          </w:p>
        </w:tc>
        <w:tc>
          <w:tcPr>
            <w:tcW w:type="dxa" w:w="124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25 m²</w:t>
            </w:r>
          </w:p>
        </w:tc>
        <w:tc>
          <w:tcPr>
            <w:tcW w:type="dxa" w:w="18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5 funcionarios</w:t>
            </w:r>
          </w:p>
        </w:tc>
      </w:tr>
      <w:tr>
        <w:tc>
          <w:tcPr>
            <w:tcW w:type="dxa" w:w="192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Nava Morales</w:t>
            </w:r>
          </w:p>
        </w:tc>
        <w:tc>
          <w:tcPr>
            <w:tcW w:type="dxa" w:w="260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Sala de docentes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Cuarto</w:t>
            </w:r>
          </w:p>
        </w:tc>
        <w:tc>
          <w:tcPr>
            <w:tcW w:type="dxa" w:w="124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34 m²</w:t>
            </w:r>
          </w:p>
        </w:tc>
        <w:tc>
          <w:tcPr>
            <w:tcW w:type="dxa" w:w="18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18 docentes</w:t>
            </w:r>
          </w:p>
        </w:tc>
      </w:tr>
      <w:tr>
        <w:tc>
          <w:tcPr>
            <w:tcW w:type="dxa" w:w="192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Nava Morales</w:t>
            </w:r>
          </w:p>
        </w:tc>
        <w:tc>
          <w:tcPr>
            <w:tcW w:type="dxa" w:w="260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Archivos de Kárdex 1 y 2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Primer sótano</w:t>
            </w:r>
          </w:p>
        </w:tc>
        <w:tc>
          <w:tcPr>
            <w:tcW w:type="dxa" w:w="124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44 m²</w:t>
            </w:r>
          </w:p>
        </w:tc>
        <w:tc>
          <w:tcPr>
            <w:tcW w:type="dxa" w:w="18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No aplica</w:t>
            </w:r>
          </w:p>
        </w:tc>
      </w:tr>
      <w:tr>
        <w:tc>
          <w:tcPr>
            <w:tcW w:type="dxa" w:w="192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Nava Morales</w:t>
            </w:r>
          </w:p>
        </w:tc>
        <w:tc>
          <w:tcPr>
            <w:tcW w:type="dxa" w:w="260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Archivos 1 y 2</w:t>
            </w:r>
          </w:p>
        </w:tc>
        <w:tc>
          <w:tcPr>
            <w:tcW w:type="dxa" w:w="147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Segundo sótano</w:t>
            </w:r>
          </w:p>
        </w:tc>
        <w:tc>
          <w:tcPr>
            <w:tcW w:type="dxa" w:w="124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119 m²</w:t>
            </w:r>
          </w:p>
        </w:tc>
        <w:tc>
          <w:tcPr>
            <w:tcW w:type="dxa" w:w="18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Century Gothic" w:hAnsi="Century Gothic" w:cs="Century Gothic" w:eastAsia="Century Gothic"/>
                <w:b w:val="0"/>
                <w:i w:val="0"/>
                <w:sz w:val="18"/>
              </w:rPr>
              <w:t>No aplica</w:t>
            </w:r>
          </w:p>
        </w:tc>
      </w:tr>
    </w:tbl>
    <w:p>
      <w:pPr>
        <w:spacing w:before="40" w:after="200" w:line="240" w:lineRule="auto"/>
        <w:jc w:val="left"/>
      </w:pPr>
      <w:r>
        <w:rPr>
          <w:rFonts w:ascii="Century Gothic" w:hAnsi="Century Gothic" w:cs="Century Gothic" w:eastAsia="Century Gothic"/>
          <w:b w:val="0"/>
          <w:i w:val="0"/>
          <w:sz w:val="16"/>
        </w:rPr>
        <w:t>Fuente: Plan de Estudios 2024. Todos los ambientes son de uso exclusivo de la Carrera.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La sala de docentes, con 18 plazas para 82 docentes, no permite la tutoría a estudiantes ni el trabajo colegiado que requiere el Plan 2027, y el inventario no registra una sala de docentes en el Monoblock Central. Los ambientes administrativos atienden a 23 servidores y concentran los trámites de una de las carreras con mayor población estudiantil de la Universidad.</w:t>
      </w:r>
    </w:p>
    <w:p>
      <w:pPr>
        <w:spacing w:before="4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019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ent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1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entury Gothic" w:hAnsi="Century Gothic" w:cs="Century Gothic" w:eastAsia="Century Gothic"/>
          <w:b w:val="0"/>
          <w:i w:val="0"/>
          <w:sz w:val="18"/>
        </w:rPr>
        <w:t>Imagen 13. Sala de docentes, Edificio Nava Morales</w:t>
      </w:r>
    </w:p>
    <w:p>
      <w:pPr>
        <w:keepNext/>
        <w:tabs>
          <w:tab w:pos="709" w:val="left"/>
        </w:tabs>
        <w:spacing w:before="12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4"/>
        </w:rPr>
        <w:t>14.7</w:t>
        <w:tab/>
      </w:r>
      <w:r>
        <w:rPr>
          <w:rFonts w:ascii="Century Gothic" w:hAnsi="Century Gothic" w:cs="Century Gothic" w:eastAsia="Century Gothic"/>
          <w:b/>
          <w:i w:val="0"/>
          <w:sz w:val="24"/>
        </w:rPr>
        <w:t>Áreas de interacción social, cultural y deportiva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Para las actividades académicas, culturales y de interacción social, la Carrera dispone del auditorio del Edificio Nava Morales, en el segundo piso, con 247 m² y capacidad para 220 personas, equipado con sistema de sonido y cuatro cámaras de seguridad, y de los pabellones del Monoblock Central para eventos de mayor convocatoria. El inventario de la Carrera no registra áreas deportivas propias. Para la consultoría social contable y las campañas del punto 7 se requiere un ambiente de atención al público con acceso independiente.</w:t>
      </w:r>
    </w:p>
    <w:p>
      <w:pPr>
        <w:keepNext/>
        <w:tabs>
          <w:tab w:pos="709" w:val="left"/>
        </w:tabs>
        <w:spacing w:before="12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4"/>
        </w:rPr>
        <w:t>14.8</w:t>
        <w:tab/>
      </w:r>
      <w:r>
        <w:rPr>
          <w:rFonts w:ascii="Century Gothic" w:hAnsi="Century Gothic" w:cs="Century Gothic" w:eastAsia="Century Gothic"/>
          <w:b/>
          <w:i w:val="0"/>
          <w:sz w:val="24"/>
        </w:rPr>
        <w:t>Infraestructura sanitaria para docentes, estudiantes y administrativos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Las fuentes del rediseño no registran el inventario de los servicios sanitarios de los edificios Nava Morales y Monoblock Central. La Dirección de Carrera lo completará con la unidad de infraestructura de la Universidad, diferenciando los servicios para docentes, estudiantes y administrativos, su número por piso y su accesibilidad para personas con discapacidad, y lo incorporará al plan de mantenimiento del punto 11.3.2.</w:t>
      </w:r>
    </w:p>
    <w:p>
      <w:pPr>
        <w:keepNext/>
        <w:tabs>
          <w:tab w:pos="709" w:val="left"/>
        </w:tabs>
        <w:spacing w:before="12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4"/>
        </w:rPr>
        <w:t>14.9</w:t>
        <w:tab/>
      </w:r>
      <w:r>
        <w:rPr>
          <w:rFonts w:ascii="Century Gothic" w:hAnsi="Century Gothic" w:cs="Century Gothic" w:eastAsia="Century Gothic"/>
          <w:b/>
          <w:i w:val="0"/>
          <w:sz w:val="24"/>
        </w:rPr>
        <w:t>Software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La infraestructura de software de la Carrera comprende los siguientes sistemas:</w:t>
      </w:r>
    </w:p>
    <w:p>
      <w:pPr>
        <w:numPr>
          <w:ilvl w:val="0"/>
          <w:numId w:val="901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Servidores.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Dos servidores propios, instalados en el pool de servidores de la UMSA, que garantiza disponibilidad y funcionamiento continuo con respaldo de baterías durante los cortes de energía.</w:t>
      </w:r>
    </w:p>
    <w:p>
      <w:pPr>
        <w:numPr>
          <w:ilvl w:val="0"/>
          <w:numId w:val="901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Sistema de Seguimiento Académico.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Registra el avance y el rendimiento de los estudiantes y será la base del sistema de alerta temprana del punto 5.3.5.</w:t>
      </w:r>
    </w:p>
    <w:p>
      <w:pPr>
        <w:numPr>
          <w:ilvl w:val="0"/>
          <w:numId w:val="901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Plataforma virtual.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Permite publicar recursos, recibir tareas y tomar controles de lectura y evaluaciones en línea.</w:t>
      </w:r>
    </w:p>
    <w:p>
      <w:pPr>
        <w:numPr>
          <w:ilvl w:val="0"/>
          <w:numId w:val="901"/>
        </w:numPr>
        <w:spacing w:before="0" w:after="16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Control de asistencia docente.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Sistema biométrico instalado en los edificios de la Av. Villazón y de la Av. Montes.</w:t>
      </w:r>
    </w:p>
    <w:p>
      <w:pPr>
        <w:numPr>
          <w:ilvl w:val="0"/>
          <w:numId w:val="901"/>
        </w:num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/>
          <w:i w:val="0"/>
          <w:sz w:val="20"/>
        </w:rPr>
        <w:t>Software de los laboratorios.</w:t>
      </w:r>
      <w:r>
        <w:rPr>
          <w:rFonts w:ascii="Century Gothic" w:hAnsi="Century Gothic" w:cs="Century Gothic" w:eastAsia="Century Gothic"/>
          <w:b w:val="0"/>
          <w:i w:val="0"/>
          <w:sz w:val="20"/>
        </w:rPr>
        <w:t xml:space="preserve"> Ofimática, programación, bases de datos, estadística, módulos contables y aplicativos tributarios, detallados en el punto 10.8.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Los requerimientos de software del Plan 2027, como los sistemas ERP, las herramientas de auditoría asistida por computadora y el análisis de datos, se presentan en el Cuadro 3 del punto 10 y en el Cuadro 6 del punto 11.</w:t>
      </w:r>
    </w:p>
    <w:p>
      <w:pPr>
        <w:keepNext/>
        <w:tabs>
          <w:tab w:pos="709" w:val="left"/>
        </w:tabs>
        <w:spacing w:before="80" w:after="200" w:line="240" w:lineRule="auto"/>
        <w:ind w:left="709" w:hanging="709"/>
        <w:jc w:val="left"/>
      </w:pPr>
      <w:r>
        <w:rPr>
          <w:rFonts w:ascii="Century Gothic" w:hAnsi="Century Gothic" w:cs="Century Gothic" w:eastAsia="Century Gothic"/>
          <w:b/>
          <w:i w:val="0"/>
          <w:sz w:val="22"/>
        </w:rPr>
        <w:t>14.9.1</w:t>
        <w:tab/>
      </w:r>
      <w:r>
        <w:rPr>
          <w:rFonts w:ascii="Century Gothic" w:hAnsi="Century Gothic" w:cs="Century Gothic" w:eastAsia="Century Gothic"/>
          <w:b/>
          <w:i w:val="0"/>
          <w:sz w:val="22"/>
        </w:rPr>
        <w:t>Valoración de la infraestructura</w:t>
      </w:r>
    </w:p>
    <w:p>
      <w:pPr>
        <w:spacing w:before="0" w:after="200" w:line="240" w:lineRule="auto"/>
        <w:jc w:val="both"/>
      </w:pPr>
      <w:r>
        <w:rPr>
          <w:rFonts w:ascii="Century Gothic" w:hAnsi="Century Gothic" w:cs="Century Gothic" w:eastAsia="Century Gothic"/>
          <w:b w:val="0"/>
          <w:i w:val="0"/>
          <w:sz w:val="20"/>
        </w:rPr>
        <w:t>Frente a 4.283 estudiantes matriculados y 3.143 inscritos, la infraestructura de la Carrera es insuficiente: las aulas de los primeros años están saturadas, los laboratorios atienden simultáneamente a 106 estudiantes, la sala de lectura ofrece 90 plazas y la sala de docentes, 18. La dispersión entre dos sedes genera traslados entre clases. Por ello, además de las medidas de corto y mediano plazo del punto 11.1.4, la Carrera retoma la gestión de un edificio propio y centralizado como requerimiento de largo plazo.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0">
    <w:multiLevelType w:val="hybridMultilevel"/>
    <w:lvl w:ilvl="0">
      <w:start w:val="1"/>
      <w:numFmt w:val="bullet"/>
      <w:lvlText w:val=""/>
      <w:lvlJc w:val="left"/>
      <w:pPr>
        <w:ind w:left="357" w:hanging="357"/>
      </w:pPr>
      <w:rPr>
        <w:rFonts w:ascii="Wingdings" w:hAnsi="Wingdings" w:cs="Wingdings" w:hint="default"/>
        <w:sz w:val="20"/>
      </w:rPr>
    </w:lvl>
    <w:lvl w:ilvl="1">
      <w:start w:val="1"/>
      <w:numFmt w:val="bullet"/>
      <w:lvlText w:val="–"/>
      <w:lvlJc w:val="left"/>
      <w:pPr>
        <w:ind w:left="720" w:hanging="283"/>
      </w:pPr>
      <w:rPr>
        <w:rFonts w:ascii="Century Gothic" w:hAnsi="Century Gothic" w:cs="Century Gothic" w:hint="default"/>
        <w:sz w:val="20"/>
      </w:rPr>
    </w:lvl>
    <w:lvl w:ilvl="2">
      <w:start w:val="1"/>
      <w:numFmt w:val="bullet"/>
      <w:lvlText w:val="·"/>
      <w:lvlJc w:val="left"/>
      <w:pPr>
        <w:ind w:left="1077" w:hanging="283"/>
      </w:pPr>
      <w:rPr>
        <w:rFonts w:ascii="Symbol" w:hAnsi="Symbol" w:cs="Symbol" w:hint="default"/>
        <w:sz w:val="20"/>
      </w:rPr>
    </w:lvl>
  </w:abstractNum>
  <w:abstractNum w:abstractNumId="901">
    <w:multiLevelType w:val="hybridMultilevel"/>
    <w:lvl w:ilvl="0">
      <w:start w:val="1"/>
      <w:numFmt w:val="lowerLetter"/>
      <w:lvlText w:val="%1."/>
      <w:lvlJc w:val="left"/>
      <w:pPr>
        <w:ind w:left="357" w:hanging="357"/>
      </w:pPr>
      <w:rPr>
        <w:rFonts w:ascii="Century Gothic" w:hAnsi="Century Gothic" w:cs="Century Gothic" w:hint="default"/>
        <w:b/>
        <w:sz w:val="20"/>
      </w:rPr>
    </w:lvl>
    <w:lvl w:ilvl="1">
      <w:start w:val="1"/>
      <w:numFmt w:val="bullet"/>
      <w:lvlText w:val=""/>
      <w:lvlJc w:val="left"/>
      <w:pPr>
        <w:ind w:left="720" w:hanging="357"/>
      </w:pPr>
      <w:rPr>
        <w:rFonts w:ascii="Wingdings" w:hAnsi="Wingdings" w:cs="Wingdings" w:hint="default"/>
        <w:sz w:val="20"/>
      </w:rPr>
    </w:lvl>
    <w:lvl w:ilvl="2">
      <w:start w:val="1"/>
      <w:numFmt w:val="bullet"/>
      <w:lvlText w:val="–"/>
      <w:lvlJc w:val="left"/>
      <w:pPr>
        <w:ind w:left="1077" w:hanging="283"/>
      </w:pPr>
      <w:rPr>
        <w:rFonts w:ascii="Century Gothic" w:hAnsi="Century Gothic" w:cs="Century Gothic" w:hint="default"/>
        <w:sz w:val="20"/>
      </w:rPr>
    </w:lvl>
  </w:abstractNum>
  <w:abstractNum w:abstractNumId="902">
    <w:multiLevelType w:val="hybridMultilevel"/>
    <w:lvl w:ilvl="0">
      <w:start w:val="1"/>
      <w:numFmt w:val="decimal"/>
      <w:lvlText w:val="%1."/>
      <w:lvlJc w:val="left"/>
      <w:pPr>
        <w:ind w:left="357" w:hanging="357"/>
      </w:pPr>
      <w:rPr>
        <w:rFonts w:ascii="Century Gothic" w:hAnsi="Century Gothic" w:cs="Century Gothic" w:hint="default"/>
        <w:b/>
        <w:sz w:val="20"/>
      </w:rPr>
    </w:lvl>
    <w:lvl w:ilvl="1">
      <w:start w:val="1"/>
      <w:numFmt w:val="lowerLetter"/>
      <w:lvlText w:val="%2."/>
      <w:lvlJc w:val="left"/>
      <w:pPr>
        <w:ind w:left="720" w:hanging="357"/>
      </w:pPr>
      <w:rPr>
        <w:rFonts w:ascii="Century Gothic" w:hAnsi="Century Gothic" w:cs="Century Gothic" w:hint="default"/>
        <w:b/>
        <w:sz w:val="20"/>
      </w:rPr>
    </w:lvl>
    <w:lvl w:ilvl="2">
      <w:start w:val="1"/>
      <w:numFmt w:val="bullet"/>
      <w:lvlText w:val=""/>
      <w:lvlJc w:val="left"/>
      <w:pPr>
        <w:ind w:left="1077" w:hanging="283"/>
      </w:pPr>
      <w:rPr>
        <w:rFonts w:ascii="Wingdings" w:hAnsi="Wingdings" w:cs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1">
    <w:abstractNumId w:val="90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entury Gothic" w:hAnsi="Century Gothic" w:cs="Century Gothic" w:eastAsia="Century Gothic"/>
      <w:sz w:val="20"/>
      <w:lang w:val="es-BO" w:eastAsia="es-B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